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loại hình trường đại học dân lập sang loại hình trường đại học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Hội đồng quản trị trường dân lập có trách nhiệm nộp 05 bộ hồ sơ quy định tại Điều 9 của Thông tư số 45/2014/TT-BGDĐT ngày 17 tháng 12 năm 2014 của Bộ trưởng Bộ Giáo dục và Đào tạo quy định về việc chuyển đổi loại hình trường đại học dân lập sang loại hình trường đại học tư thục (Thông tư số 45/2014/TT-BGDĐT) về Bộ Giáo dục và Đào tạo;</w:t>
      </w:r>
    </w:p>
    <w:p>
      <w:pPr>
        <w:spacing w:after="0" w:before="0" w:lineRule="auto" w:line="276"/>
        <w:jc w:val="both"/>
      </w:pPr>
      <w:r>
        <w:rPr>
          <w:rFonts w:ascii="Times New Roman" w:hAnsi="Times New Roman" w:cs="Times New Roman" w:eastAsia="Times New Roman"/>
          <w:b w:val="false"/>
          <w:sz w:val="26"/>
        </w:rPr>
        <w:t>Bước 2: Trong thời hạn 30 ngày làm việc kể từ ngày nhận được hồ sơ hợp lệ, Bộ Giáo dục và Đào tạo xem xét đề án chuyển đổi, trình Thủ tướng Chính phủ ra quyết định chuyển đổi loại hình trường.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được hồ sơ hợp lệ, Bộ Giáo dục và Đào tạo xem xét đề án chuyển đổi, trình Thủ tướng Chính phủ ra quyết định chuyển đổi loại hình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được hồ sơ hợp lệ, Bộ Giáo dục và Đào tạo xem xét đề án chuyển đổi, trình Thủ tướng Chính phủ ra quyết định chuyển đổi loại hình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chuyển đổi trường dân lập sang trường tư thục do Chủ tịch Hội đồng quản trị trường dân lập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nghị của Hội đồng quản trị trường dân lập về việc chuyển đổi trường dân lập sang trường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nghị của Hội đồng quản trị trường dân lập về:  - Công nhận danh sách tổ chức, cá nhân góp vốn, phương thức bảo toàn giá trị vốn góp, xác định vốn điều lệ, giá trị mỗi cổ phần, số lượng cổ phần;  - Xác định số lượng thành viên Hội đồng quản trị nhiệm kỳ đầu tiên của trường tư thục, số lượng thành viên đại diện cho phần vốn góp;  - Tên gọi của trường tư thục sau khi được công nhận chuyển đổi (trong trường hợp cần thiết đổi tên trường).  Các Quyết nghị của Hội đồng quản trị trường dân lập được thông qua khi có trên 50% tổng số thành viên theo danh sách đồng 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chế tổ chức và hoạt động của trường tư thục được Hội đồng quản trị trường dân lập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kiểm toán, kết quả định giá quy định tại Điều 4 của Thông tư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liên quan đến quyền sử dụng đất.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trường dân lập; Quyết định đổi tên trường dân lập (nếu có); Quyết định công nhận Hội đồng quản trị trường dân lập đương nhiệm; Quyết định công nhận thay đổi thành viên Hội đồng quản trị của trường dân lập (nếu có); Quyết định công nhận Hiệu trưởng trường dân lập đương nhiệm.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Thủ tướng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chuyển đổi loại hình trường của Thủ tướng Chính phủ</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45/2014/TT-BGDĐT</w:t>
            </w:r>
          </w:p>
        </w:tc>
        <w:tc>
          <w:p/>
          <w:p>
            <w:pPr>
              <w:spacing w:after="0" w:before="0" w:lineRule="auto" w:line="276"/>
              <w:jc w:val="left"/>
            </w:pPr>
            <w:r>
              <w:rPr>
                <w:rFonts w:ascii="Times New Roman" w:hAnsi="Times New Roman" w:cs="Times New Roman" w:eastAsia="Times New Roman"/>
                <w:b w:val="false"/>
                <w:sz w:val="26"/>
              </w:rPr>
              <w:t>Quy định về việc chuyển đổi loại hình trường đại học dân lập sang loại hình trường đại học tư thục</w:t>
            </w:r>
          </w:p>
        </w:tc>
        <w:tc>
          <w:p/>
          <w:p>
            <w:pPr>
              <w:spacing w:after="0" w:before="0" w:lineRule="auto" w:line="276"/>
              <w:jc w:val="left"/>
            </w:pPr>
            <w:r>
              <w:rPr>
                <w:rFonts w:ascii="Times New Roman" w:hAnsi="Times New Roman" w:cs="Times New Roman" w:eastAsia="Times New Roman"/>
                <w:b w:val="false"/>
                <w:sz w:val="26"/>
              </w:rPr>
              <w:t>17-12-2014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Quá trình chuyển đổi không làm ảnh hưởng đến hoạt động bình thường của nhà trường, không gây khó khăn cho người học, đảm bảo quyền và lợi ích hợp pháp của người lao động của nhà trường, các cá nhân và tổ chức có liên quan.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2025-11-27T09:06:36Z</dcterms:created>
  <dc:creator>Apache POI</dc:creator>
</cp:coreProperties>
</file>