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1.004988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1650/QĐ-BGDĐT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Cho phép trường trung học phổ thông chuyên hoạt động trở lại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Các cơ sở giáo dục khác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Trong thời hạn bị đình chỉ, nếu nguyên nhân dẫn đến việc đình chỉ được khắc phục (không thuộc trường hợp bị đình chỉ do người cho phép hoạt động giáo dục không đúng thẩm quyền) thì trường trung học phổ thông chuyên thông báo bằng văn bản kèm theo minh chứng cho Giám đốc Sở Giáo dục và Đào tạo. Trong thời hạn 07 ngày làm việc, kể từ ngày nhận được thông báo của trường trung học phổ thông chuyên, Giám đốc Sở Giáo dục và Đào tạo quyết định cho phép trường trung học phổ thông chuyênhoạt động giáo dục trở lại và công bố công khai trên các phương tiện thông tin đại chúng.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được thông báo của trường.</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được thông báo của trường.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được thông báo của trường.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trình cho phép hoạt động giáo dục trở lại	</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Cán bộ, công chức, viên chức,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cho phép trường trung học phổ thông chuyên hoạt động giáo dục trở lại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125/2024/NĐ-CP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đầu tư và hoạt động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số 142/2025/NĐ-CP</w:t>
            </w:r>
          </w:p>
        </w:tc>
        <w:tc>
          <w:p/>
          <w:p>
            <w:pPr>
              <w:spacing w:after="0" w:before="0" w:lineRule="auto" w:line="276"/>
              <w:jc w:val="left"/>
            </w:pPr>
            <w:r>
              <w:rPr>
                <w:rFonts w:ascii="Times New Roman" w:hAnsi="Times New Roman" w:cs="Times New Roman" w:eastAsia="Times New Roman"/>
                <w:b w:val="false"/>
                <w:sz w:val="26"/>
              </w:rPr>
              <w:t>Nghị định số 142/2025/NĐ-CP của Chính phủ: Quy định về phân định thẩm quyền của chính quyền địa phương hai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Trong thời hạn bị đình chỉ, nếu nguyên nhân dẫn đến việc đình chỉ được khắc phục.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https://thutuc.dichvucong.gov.vn/p/home/dvc-tthc-thu-tuc-hanh-chinh-chi-tiet.html?ma_thu_tuc=6973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2025-11-27T09:07:30Z</dcterms:created>
  <dc:creator>Apache POI</dc:creator>
</cp:coreProperties>
</file>