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1.004999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Sáp nhập, chia, tách trường trung học phổ thông chuyên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cơ sở giáo dục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gửi 01 bộ hồ sơ quy định tại qua cổng dịch vụ công trực tuyến hoặc bưu chính hoặc trực tiếp đến Ủy ban nhân dân cấp tỉnh;chuyên thuộc cơ sở giáo dục đại hoc) gửi 01 bộ hồ sơ quy định tại khoản 3 Điều 30 Nghị định số 125/2024/NĐ-CP qua cổng dịch vụ công trực tuyến hoặc bưu chính hoặc trực tiếp đến Ủy ban nhân dân cấp tỉnh.</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nếu hồ sơ không hợp lệ thì Ủy ban nhân dân cấp tỉnh thông báo bằng văn bản những nội dung cần chỉnh sửa, bổ sung cho cơ quan, tổ chức, cá nhân;</w:t>
      </w:r>
    </w:p>
    <w:p>
      <w:pPr>
        <w:spacing w:after="0" w:before="0" w:lineRule="auto" w:line="276"/>
        <w:jc w:val="both"/>
      </w:pPr>
      <w:r>
        <w:rPr>
          <w:rFonts w:ascii="Times New Roman" w:hAnsi="Times New Roman" w:cs="Times New Roman" w:eastAsia="Times New Roman"/>
          <w:b w:val="false"/>
          <w:sz w:val="26"/>
        </w:rPr>
        <w:t>c) Trong thời hạn 25 ngày làm việc, kể từ ngày nhận đủ hồ sơ hợp lệ, Ủy ban nhân dân cấp tỉnh chỉ đạo Sở Giáo dục và Đào tạo phối hợp với các cơ quan có liên quan tổ chức thẩm định các điều kiện sáp nhập, chia, tách trường trung học phổ thông chuyên; Sở Giáo dục và Đào tạo lập báo cáo thẩm định gửi Ủy ban nhân dân cấp tỉnh;</w:t>
      </w:r>
    </w:p>
    <w:p>
      <w:pPr>
        <w:spacing w:after="0" w:before="0" w:lineRule="auto" w:line="276"/>
        <w:jc w:val="both"/>
      </w:pPr>
      <w:r>
        <w:rPr>
          <w:rFonts w:ascii="Times New Roman" w:hAnsi="Times New Roman" w:cs="Times New Roman" w:eastAsia="Times New Roman"/>
          <w:b w:val="false"/>
          <w:sz w:val="26"/>
        </w:rPr>
        <w:t>d) Trên cơ sở báo cáo thẩm định của Sở Giáo dục và Đào tạo, Chủ tịch Ủy ban nhân dân cấp tỉnh quyết định việc sáp nhập, chia, tách trường trung học phổ thông chuyên nếu đủ điều kiện; nếu chưa đủ điều kiện thì thông báo bằng văn bản cho cơ quan, tổ chức, cá nhân đề nghị thành lập hoặc cho phép thành lập trường và nêu rõ lý do.
Quyết định sáp nhập, chia, tách trường trung học phổ thông thông (theo Mẫu số 10 Phụ lục II kèm theo Nghị định 142/2025/NĐ-CP) được công bố công khai trên các phương tiện thông tin đại chúng.</w:t>
      </w:r>
    </w:p>
    <w:p>
      <w:pPr>
        <w:spacing w:after="0" w:before="0" w:lineRule="auto" w:line="276"/>
        <w:jc w:val="both"/>
      </w:pPr>
      <w:r>
        <w:rPr>
          <w:rFonts w:ascii="Times New Roman" w:hAnsi="Times New Roman" w:cs="Times New Roman" w:eastAsia="Times New Roman"/>
          <w:b w:val="false"/>
          <w:sz w:val="26"/>
        </w:rPr>
        <w:t>Quyết định sáp nhập, chia, tách trường trung học phổ thông chuyên (theo Mẫu số 10 Phụ lục II kèm theo Nghị định 142/2025/NĐ-CP)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Ủy ban nhân dân cấp tỉnh thông báo bằng văn bản những nội dung cần chỉnh sửa, bổ sung cho cơ quan, tổ chức, cá nhân.
2. Trường hợp hồ sơ hợp lệ: Trong thời hạn 25 ngày làm việc, kể từ ngày nhận đủ hồ sơ hợp lệ, Ủy ban nhân dân cấp tỉnh chỉ đạo Sở Giáo dục và Đào tạo phối hợp với các cơ quan có liên quan tổ chức thẩm định các điều kiện sáp nhập, chia, tách trường trung học phổ thông; Sở Giáo dục và Đào tạo lập báo cáo thẩm định gửi Ủy ban nhân dân cấp tỉnh. Trên cơ sở báo cáo thẩm định của Sở Giáo dục và Đào tạo, Chủ tịch Ủy ban nhân dân cấp tỉnh quyết định việc sáp nhập, chia, tách trường trung học phổ thông chuyên nếu đủ điều kiện; nếu chưa đủ điều kiện thì thông báo bằng văn bản cho cơ quan, tổ chức, cá nhân đề nghị thành lập hoặc cho phép thành lập trường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Ủy ban nhân dân cấp tỉnh thông báo bằng văn bản những nội dung cần chỉnh sửa, bổ sung cho cơ quan, tổ chức, cá nhân.
2. Trường hợp hồ sơ hợp lệ: Trong thời hạn 25 ngày làm việc, kể từ ngày nhận đủ hồ sơ hợp lệ, Ủy ban nhân dân cấp tỉnh chỉ đạo Sở Giáo dục và Đào tạo phối hợp với các cơ quan có liên quan tổ chức thẩm định các điều kiện sáp nhập, chia, tách trường trung học phổ thông; Sở Giáo dục và Đào tạo lập báo cáo thẩm định gửi Ủy ban nhân dân cấp tỉnh. Trên cơ sở báo cáo thẩm định của Sở Giáo dục và Đào tạo, Chủ tịch Ủy ban nhân dân cấp tỉnh quyết định việc sáp nhập, chia, tách trường trung học phổ thông chuyên nếu đủ điều kiện; nếu chưa đủ điều kiện thì thông báo bằng văn bản cho cơ quan, tổ chức, cá nhân đề nghị thành lập hoặc cho phép thành lập trường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Ủy ban nhân dân cấp tỉnh thông báo bằng văn bản những nội dung cần chỉnh sửa, bổ sung cho cơ quan, tổ chức, cá nhân.
2. Trường hợp hồ sơ hợp lệ: Trong thời hạn 25 ngày làm việc, kể từ ngày nhận đủ hồ sơ hợp lệ, Ủy ban nhân dân cấp tỉnh chỉ đạo Sở Giáo dục và Đào tạo phối hợp với các cơ quan có liên quan tổ chức thẩm định các điều kiện sáp nhập, chia, tách trường trung học phổ thông; Sở Giáo dục và Đào tạo lập báo cáo thẩm định gửi Ủy ban nhân dân cấp tỉnh. Trên cơ sở báo cáo thẩm định của Sở Giáo dục và Đào tạo, Chủ tịch Ủy ban nhân dân cấp tỉnh quyết định việc sáp nhập, chia, tách trường trung học phổ thông chuyên nếu đủ điều kiện; nếu chưa đủ điều kiện thì thông báo bằng văn bản cho cơ quan, tổ chức, cá nhân đề nghị thành lập hoặc cho phép thành lập trường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trình đề nghị sáp nhập, chia, tách trường trung học chuyên (theo Mẫu số 04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Mauso04_PLII.doc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Đề án sáp nhập, chia, tách trường trung học chuyên (theo Mẫu số 05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Mauso05_PLII.doc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Ý kiến đồng thuận của nhà đầu tư đại diện ít nhất 75% tổng số vốn góp đối với việc sáp nhập, chia, tách trường trung học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 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sáp nhập, chia, tách trường trung học phổ thông, trường phổ thông chuyên của Chủ tịch Uỷ ban nhân dân cấp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43/2019/QH14</w:t>
            </w:r>
          </w:p>
        </w:tc>
        <w:tc>
          <w:p/>
          <w:p>
            <w:pPr>
              <w:spacing w:after="0" w:before="0" w:lineRule="auto" w:line="276"/>
              <w:jc w:val="left"/>
            </w:pPr>
            <w:r>
              <w:rPr>
                <w:rFonts w:ascii="Times New Roman" w:hAnsi="Times New Roman" w:cs="Times New Roman" w:eastAsia="Times New Roman"/>
                <w:b w:val="false"/>
                <w:sz w:val="26"/>
              </w:rPr>
              <w:t>Luật Giáo dục</w:t>
            </w:r>
          </w:p>
        </w:tc>
        <w:tc>
          <w:p/>
          <w:p>
            <w:pPr>
              <w:spacing w:after="0" w:before="0" w:lineRule="auto" w:line="276"/>
              <w:jc w:val="left"/>
            </w:pPr>
            <w:r>
              <w:rPr>
                <w:rFonts w:ascii="Times New Roman" w:hAnsi="Times New Roman" w:cs="Times New Roman" w:eastAsia="Times New Roman"/>
                <w:b w:val="false"/>
                <w:sz w:val="26"/>
              </w:rPr>
              <w:t>14-06-2019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Nhà trường sáp nhập, chia, tách phải bảo đảm các yêu cầu tại quy định tại khoản 1 Điều 51 Luật Giáo dục:
a) Phù hợp với quy hoạch phát triển kinh tế - xã hội và quy hoạch mạng lưới cơ sở giáo dục theo quy định của Luật Quy hoạch.
b) Đáp ứng nhu cầu phát triển kinh tế - xã hội.
c) Bảo đảm quyền, lợi ích của nhà giáo và người học.
d) Góp phần nâng cao chất lượng và hiệu quả giáo dục.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https://thutuc.dichvucong.gov.vn/p/home/dvc-tthc-thu-tuc-hanh-chinh-chi-tiet.html?ma_thu_tuc=6984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2025-11-27T09:07:31Z</dcterms:created>
  <dc:creator>Apache POI</dc:creator>
</cp:coreProperties>
</file>