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Tuyển sinh công dân Việt Nam ra nước ngoài học tập bằng học bổng ngân sách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Ứng viên nộp 01 bộ hồ sơ qua đường bưu điện hoặc trực tiếp hoặc trực tuyến cho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60 ngày làm việc kể từ ngày hết hạn nhận hồ sơ dự tuyển, cơ quan cử đi học tổ chức thực hiện tuyển sinh và thông báo kết quả tuyển chọn cho ứng viên, cơ quan quản lý trực tiếp (đối với trường hợp có cơ quan công tác) qua việc thông báo rộng rãi trên cổng thông tin điện tử của cơ quan thực hiện tuyển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Một cửa của Bộ Giáo dục và Đào tạo.
Trong thời hạn 60 ngày làm việc kể từ ngày hết hạn nhận hồ sơ dự tuyển, Bộ Giáo dục và Đào tạo tổ chức thực hiện tuyển sinh và thông báo kết quả tuyển chọn cho du học sinh học bổng ngân sách nhà nước, cơ quan quản lý trực tiếp (đối với trường hợp có cơ quan công tác) qua việc thông báo rộng rãi trên cổng thông tin điện tử của Bộ Giáo dục và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trên Cổng dịch vụ công trực tuyến của Bộ Giáo dục và Đào tạo.
Trong thời hạn 60 ngày làm việc kể từ ngày hết hạn nhận hồ sơ dự tuyển, Bộ Giáo dục và Đào tạo tổ chức thực hiện tuyển sinh và thông báo kết quả tuyển chọn cho du học sinh học bổng ngân sách nhà nước, cơ quan quản lý trực tiếp (đối với trường hợp có cơ quan công tác) qua việc thông báo rộng rãi trên cổng thông tin điện tử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đường bưu điện đến Bộ GDĐT.
Trong thời hạn 60 ngày làm việc kể từ ngày hết hạn nhận hồ sơ dự tuyển, Bộ Giáo dục và Đào tạo tổ chức thực hiện tuyển sinh và thông báo kết quả tuyển chọn cho du học sinh học bổng ngân sách nhà nước, cơ quan quản lý trực tiếp (đối với trường hợp có cơ quan công tác) qua việc thông báo rộng rãi trên cổng thông tin điện tử của 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cơ quan quản lý trực tiếp cử dự tuyển (đối với trường hợp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Cam kết thực hiện trách nhiệm của người được cử đi dự tuyển theo yêu cầu của cơ quan quản lý trực tiếp (đối với trường hợp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có dán ảnh và xác nhận của cơ quan quản lý trực tiếp (đối với trường hợp có cơ quan công tác) hoặc xác nhận của chính quyền địa phương nơi cư trú (đối với trường hợp không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văn bằng, chứng chỉ chuyên môn, ngoại ngữ đáp ứng quy định của chương trình học bổng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khám sức khỏe của cơ sở y tế cấp tỉnh, thành phố trực thuộc trung ương xác nhận đủ điều kiện đi học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khác (nếu có) theo yêu cầu của chương trình học bổng và Bộ Giáo dục và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Cơ sở giáo dục đại học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 Cơ sở giáo dục đại học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Bộ Giáo dục và Đào tạo hoặc Cổng dịch vụ công của Bộ</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ứng viên đủ điều kiện được tuyển chọn đi học nước ngoài theo học bổng ngân sách Nhà nước, Hiệp định hoặc học bổng khác (Quyết định của Bộ trưởng Bộ Giáo dục và Đào tạo phê duyệt danh sách ứng viên được sơ tuyển hoặc trúng tuyển. Hoặc Quyết định phê duyệt danh sách ứng viên được sơ tuyển hoặc trúng tuyển của Thủ trưởng cơ quan, đơn vị thuộc, trực thuộc, các cơ sở giáo dục đại học (trong trường hợp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86/2021/NĐ-CP</w:t>
            </w:r>
          </w:p>
        </w:tc>
        <w:tc>
          <w:p/>
          <w:p>
            <w:pPr>
              <w:spacing w:after="0" w:before="0" w:lineRule="auto" w:line="276"/>
              <w:jc w:val="left"/>
            </w:pPr>
            <w:r>
              <w:rPr>
                <w:rFonts w:ascii="Times New Roman" w:hAnsi="Times New Roman" w:cs="Times New Roman" w:eastAsia="Times New Roman"/>
                <w:b w:val="false"/>
                <w:sz w:val="26"/>
              </w:rPr>
              <w:t>Nghị định 86/2021/NĐ-CP</w:t>
            </w:r>
          </w:p>
        </w:tc>
        <w:tc>
          <w:p/>
          <w:p>
            <w:pPr>
              <w:spacing w:after="0" w:before="0" w:lineRule="auto" w:line="276"/>
              <w:jc w:val="left"/>
            </w:pPr>
            <w:r>
              <w:rPr>
                <w:rFonts w:ascii="Times New Roman" w:hAnsi="Times New Roman" w:cs="Times New Roman" w:eastAsia="Times New Roman"/>
                <w:b w:val="false"/>
                <w:sz w:val="26"/>
              </w:rPr>
              <w:t>25-09-2021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2025-11-27T09:07:57Z</dcterms:created>
  <dc:creator>Apache POI</dc:creator>
</cp:coreProperties>
</file>