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1.008648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trường đại học thành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sở giáo dục đại học gửi 01 bộ hồ sơ trực tiếp hoặc qua bưu điện kèm theo bản mềm đến Bộ Giáo dục và Đào tạo hoặc qua dịch vụ công trực tuyến thuộc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 Trong thời hạn 30 ngày làm việc tính từ ngày nhận đủ hồ sơ theo quy định, Bộ Giáo dục và Đào tạo tổ chức thẩm định hồ sơ, trình Thủ tướng Chính phủ quyết định</w:t>
      </w:r>
    </w:p>
    <w:p>
      <w:pPr>
        <w:spacing w:after="0" w:before="0" w:lineRule="auto" w:line="276"/>
        <w:jc w:val="both"/>
      </w:pPr>
      <w:r>
        <w:rPr>
          <w:rFonts w:ascii="Times New Roman" w:hAnsi="Times New Roman" w:cs="Times New Roman" w:eastAsia="Times New Roman"/>
          <w:b w:val="false"/>
          <w:sz w:val="26"/>
        </w:rPr>
        <w:t>- Trường hợp hồ sơ không bảo đảm theo đúng quy định, trong thời hạn 10 ngày làm việc tính từ ngày nhận hồ sơ, Bộ Giáo dục và Đào tạo gửi văn bản thông báo cho cơ sở giáo dục đại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tính từ ngày nhận đủ hồ sơ theo quy định, Bộ Giáo dục và Đào tạo tổ chức thẩm định hồ sơ, trình Thủ tướng Chính phủ quyết định.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tính từ ngày nhận đủ hồ sơ theo quy định, Bộ Giáo dục và Đào tạo tổ chức thẩm định hồ sơ, trình Thủ tướng Chính phủ quyết định.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tính từ ngày nhận đủ hồ sơ theo quy định, Bộ Giáo dục và Đào tạo tổ chức thẩm định hồ sơ, trình Thủ tướng Chính phủ quyết định.
Trường hợp hồ sơ không bảo đảm theo đúng quy định, trong thời hạn 10 ngày làm việc tính từ ngày nhận hồ sơ, Bộ Giáo dục và Đào tạo gửi văn bản thông báo cho cơ sở giáo dục đại học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chuyển trường đại học thành đại học; nghị quyết của hội đồng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chuyển trường đại học thành đại học, trong đó nêu rõ sự cần thiết, các minh chứng quy định; dự thảo quy chế tổ chức hoạt động của đại học; các giải pháp giải quyết rủi ro khi tiến hành chuyển đổi (nếu có);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 số 35 Đại Cồ Việt, Quận Hai Bà Trưng,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Thủ tướng Chính phủ về việc chuyển trường đại học thành đại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99/2019/NĐ-CP</w:t>
            </w:r>
          </w:p>
        </w:tc>
        <w:tc>
          <w:p/>
          <w:p>
            <w:pPr>
              <w:spacing w:after="0" w:before="0" w:lineRule="auto" w:line="276"/>
              <w:jc w:val="left"/>
            </w:pPr>
            <w:r>
              <w:rPr>
                <w:rFonts w:ascii="Times New Roman" w:hAnsi="Times New Roman" w:cs="Times New Roman" w:eastAsia="Times New Roman"/>
                <w:b w:val="false"/>
                <w:sz w:val="26"/>
              </w:rPr>
              <w:t>Nghị định 99/2019/NĐ-CP</w:t>
            </w:r>
          </w:p>
        </w:tc>
        <w:tc>
          <w:p/>
          <w:p>
            <w:pPr>
              <w:spacing w:after="0" w:before="0" w:lineRule="auto" w:line="276"/>
              <w:jc w:val="left"/>
            </w:pPr>
            <w:r>
              <w:rPr>
                <w:rFonts w:ascii="Times New Roman" w:hAnsi="Times New Roman" w:cs="Times New Roman" w:eastAsia="Times New Roman"/>
                <w:b w:val="false"/>
                <w:sz w:val="26"/>
              </w:rPr>
              <w:t>30-12-2019</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Trường đại học đã được công nhận đạt chuẩn chất lượng cơ sở giáo dục đại học bởi tổ chức kiểm định chất lượng giáo dục hợp pháp;
- Có ít nhất 03 trường thuộc trường đại học được thành lập theo quy định; có ít nhất 10 ngành đào tạo đến trình độ tiến sĩ; có quy mô đào tạo chính quy trên 15.000 người;
- Có ý kiến chấp thuận của cơ quan quản lý trực tiếp đối với trường đại học công lập; có sự đồng thuận của các nhà đầu tư đại diện ít nhất 75% tổng số vốn góp đối với trường đại học tư thục, trường đại học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https://thutuc.dichvucong.gov.vn/p/home/dvc-tthc-thu-tuc-hanh-chinh-chi-tiet.html?ma_thu_tuc=234759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2025-11-27T09:08:28Z</dcterms:created>
  <dc:creator>Apache POI</dc:creator>
</cp:coreProperties>
</file>