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1.008720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đổi cơ sở giáo dục mầm non tư thục do cơ quan đại diện ngoại giao nước ngoài, tổ chức quốc tế liên chính phủ đề nghị sang cơ sở giáo dục mầm non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Cơ sở giáo dục gửi 01 bộ hồ sơ qua cổng dịch vụ công trực tuyến hoặc bưu chính hoặc trực tiếp đến Trung tâm Phục vụ hành chính công cấp tỉnh (Sở Giáo dục và Đào tạo);
b) Trong thời hạn 05 ngày làm việc, kể từ ngày nhận được hồ sơ, nếu hồ sơ không hợp lệ, Sở Giáo dục và Đào tạo thông báo bằng văn bản cho cơ sở giáo dục để sửa đổi, bổ sung;
c) Trong thời hạn 05 ngày làm việc kể từ ngày nhận đủ hồ sơ theo quy định, Sở Giáo dục và Đào tạo có trách nhiệm kiểm tra tính hợp lệ của hồ sơ và gửi hồ sơ xin ý kiến của các cơ quan, đơn vị có liên quan. Trong thời hạn 10 ngày làm việc kể từ ngày nhận được công văn xin ý kiến của Sở Giáo dục và Đào tạo, cơ quan, đơn vị được hỏi ý kiến phải có văn bản trả lời;
d) Trong thời hạn 15 ngày làm việc kể từ ngày nhận đủ ý kiến, Sở Giáo dục và Đào tạo lập báo cáo thẩm định; nếu đủ điều kiện thì Giám đốc Sở Giáo dục và Đào tạo trình Chủ tịch Ủy ban nhân dân cấp tỉnh quyết định; nếu chưa đủ điều kiện thì thông báo thông báo bằng văn bản cho cơ sở giáo dục,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chuyển đổi sang hoạt động không vì lợi nhuận, trong đó nêu rõ sự cần thiết phải chuyển đổi; tôn chỉ, mục đích hoạt động không vì lợi nhuận; phần vốn góp, phần tài sản thuộc sở hữu chung hợp nhất không phân chia của cơ sở giáo dục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cam kết của các nhà đầu tư đại diện ít nhất 75% tổng số vốn góp của cơ sở giáo dục, bảo đảm thực hiện hoạt động không vì lợi nhuận, không rút vốn, không hưởng lợi tức; phần lợi nhuận tích lũy hằng năm thuộc sở hữu chung hợp nhất không phân chia để tiếp tục đầu tư phát triển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Dự thảo quy chế tổ chức và hoạt động; dự thảo quy chế tài chính nội bộ của cơ sở giáo dục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được cấp từ sổ gốc, bản sao được chứng thực từ bản chính hoặc bản sao kèm theo bản chính để đối chiếu báo cáo kết quả kiểm toán; thỏa thuận giải quyết phần vốn góp cho nhà đầu tư không đồng ý chuyển đổi sang cơ sở giáo dục hoạt động không vì lợi nhuận (nếu có); các giấy tờ, tài liệu về đất đai, tài sản, tài chính, tổ chức và nhân sự của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đánh giá tác động của việc chuyển đổi về nhân sự, tài chính, tài sản và phương án xử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Quyết định thành lập, quyết định công nhận hội đồng trường đương nhiệm, quyết định công nhận hiệu trưởng đương nhiệm và các tài liệu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chuyển đổi cơ sở giáo dục mầm non tư thục do cơ quan đại diện ngoại giao nước ngoài, tổ chức quốc tế liên chính phủ đề nghị thành lập sang cơ sở giáo dục mầm non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84/2020/NĐ-CP</w:t>
            </w:r>
          </w:p>
        </w:tc>
        <w:tc>
          <w:p/>
          <w:p>
            <w:pPr>
              <w:spacing w:after="0" w:before="0" w:lineRule="auto" w:line="276"/>
              <w:jc w:val="left"/>
            </w:pPr>
            <w:r>
              <w:rPr>
                <w:rFonts w:ascii="Times New Roman" w:hAnsi="Times New Roman" w:cs="Times New Roman" w:eastAsia="Times New Roman"/>
                <w:b w:val="false"/>
                <w:sz w:val="26"/>
              </w:rPr>
              <w:t>Nghị định 84/2020/NĐ-CP</w:t>
            </w:r>
          </w:p>
        </w:tc>
        <w:tc>
          <w:p/>
          <w:p>
            <w:pPr>
              <w:spacing w:after="0" w:before="0" w:lineRule="auto" w:line="276"/>
              <w:jc w:val="left"/>
            </w:pPr>
            <w:r>
              <w:rPr>
                <w:rFonts w:ascii="Times New Roman" w:hAnsi="Times New Roman" w:cs="Times New Roman" w:eastAsia="Times New Roman"/>
                <w:b w:val="false"/>
                <w:sz w:val="26"/>
              </w:rPr>
              <w:t>17-07-2020</w:t>
            </w:r>
          </w:p>
        </w:tc>
        <w:tc>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giáo dục mầm non tư thục do cơ quan đại diện ngoại giao nước ngoài, tổ chức quốc tế liên chính phủ đề nghị thành lập bảo đảm điều kiện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https://thutuc.dichvucong.gov.vn/p/home/dvc-tthc-thu-tuc-hanh-chinh-chi-tiet.html?ma_thu_tuc=236243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2025-11-27T09:08:31Z</dcterms:created>
  <dc:creator>Apache POI</dc:creator>
</cp:coreProperties>
</file>