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1.010024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bổ sung đối tượng, phạm vi hoạt động của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Trong quá trình hoạt động, nếu tổ chức kiểm định chất lượng giáo dục có nhu cầu điều chỉnh, bổ sung đối tượng, phạm vi hoạt động thì tổ chức kiểm định chất lượng giáo dục làm thủ tục đề nghị Bộ Giáo dục và Đào tạo quyết định điều chỉnh, bổ sung quyết định cho phép hoạt động kiểm định chất lượng giáo dục, trình tự thực hiện theo quy định tại khoản 3 Điều 109 Nghị định số 125/2024/NĐ-CP như sau:</w:t>
      </w:r>
    </w:p>
    <w:p>
      <w:pPr>
        <w:spacing w:after="0" w:before="0" w:lineRule="auto" w:line="276"/>
        <w:jc w:val="both"/>
      </w:pPr>
      <w:r>
        <w:rPr>
          <w:rFonts w:ascii="Times New Roman" w:hAnsi="Times New Roman" w:cs="Times New Roman" w:eastAsia="Times New Roman"/>
          <w:b w:val="false"/>
          <w:sz w:val="26"/>
        </w:rPr>
        <w:t>a) Tổ chức kiểm định chất lượng giáo dục gửi 01 bộ hồ sơ quy định tại khoản 2 Điều 109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Bộ Giáo dục và Đào tạo nhận đủ hồ sơ, nếu hồ sơ không hợp lệ thì thông báo bằng văn bản cho tổ chức kiểm định chất lượng giáo dục về những nội dung cần chỉnh sửa, bổ sung.</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quyết định điều chỉnh, bổ sung quyết định cho phép hoạt động kiểm định chất lượng giáo dục; nếu chưa đủ điều kiện thì thông báo bằng văn bản cho tổ chức kiểm định chất lượng giáo dục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điều chỉnh, bổ sung quyết định cho phép hoạt động kiểm định chất lượng giáo dục;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điều chỉnh, bổ sung quyết định cho phép hoạt động kiểm định chất lượng giáo dục;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điều chỉnh, bổ sung quyết định cho phép hoạt động kiểm định chất lượng giáo dục; nếu chưa đủ điều kiện thì thông báo bằng văn bản cho tổ chức kiểm định chất lượng giáo dục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điều chỉnh, bổ sung quyết định cho phép hoạt động kiểm định chất lượng giáo dục (theo Mẫu số 03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03_Phu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quyền sử dụng đất, quyền sở hữu nhà hoặc hợp đồng thuê địa điểm của tổ chức kiểm định chất lượng giáo dục trong thời hạn ít nhất 02 năm (đối với thủ tục điều chỉnh, bổ sung đối tượng, phạm vi hoạt động của tổ chức KĐCLGD)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kê diện tích phòng làm việc và trang thiết bị của tổ chức kiểm định chất lượng giáo dục (đối với thủ tục điều chỉnh, bổ sung đối tượng, phạm vi hoạt động của tổ chức KĐCLGD)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mà tổ chức kiểm định chất lượng giáo dục đang quản lý; phương án đầu tư nguồn lực tài chính để duy trì hoạt động của tổ chức kiểm định, trong đó dự kiến chi phí xây dựng hoặc thuê trụ sở, cơ sở vật chất, chi phí mua sắm thiết bị, chi phí lương đội ngũ quản lý trung tâm, kiểm định viên, nhân viên và chi phí khác để duy trì hoạt động của tổ chức kiểm định chất lượng giáo dục trong thời gian ít nhất 02 năm kể từ ngày được cho phép hoạt động (đối với thủ tục điều chỉnh, bổ sung đối tượng, phạm vi hoạt động của tổ chức KĐCLGD)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hoặc cho phép thành lập tổ chức kiểm định chất lượng giáo dục; danh sách kiểm định viên kèm theo lý lịch, minh chứng về kinh nghiệm tham gia hoạt động kiểm định chất lượng giáo dục trong thời gian 05 năm, bản sao thẻ kiểm định viên còn giá trị sử dụng và văn bằng của kiểm định viên; quyết định tuyển dụng, hợp đồng lao động toàn thời gian hoặc hợp đồng làm việc đã được ký kết giữa tổ chức kiểm định chất lượng giáo dục với kiểm định viên (đối với thủ tục điều chỉnh, bổ sung đối tượng, phạm vi hoạt động của tổ chức KĐCLGD)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bổ sung quyết định cho phép hoạt động kiểm định chất lượng giáo dục của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trụ sở hoạt động ổn định; có phòng làm việc đủ cho các kiểm định viên với diện tích tối thiểu là 08 m2/người; có đủ trang thiết bị phục vụ hoạt động kiểm định chất lượng giáo dục.
b) Có nguồn lực tài chính để bảo đảm duy trì và phát triển hoạt động của tổ chức kiểm định chất lượng giáo dục trong thời gian ít nhất 02 năm kể từ ngày được cho phép hoạt động kiểm định.
c) Có ít nhất 10 kiểm định viên cơ hữu làm việc toàn thời gian theo hợp đồng lao động hoặc hợp đồng làm việc tối thiểu từ 12 tháng trở lên cho tổ chức kiểm định và có kinh nghiệm tham gia hoạt động kiểm định chất lượng giáo dục trong thời gian từ 05 năm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https://thutuc.dichvucong.gov.vn/p/home/dvc-tthc-thu-tuc-hanh-chinh-chi-tiet.html?ma_thu_tuc=269845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2025-11-27T09:08:57Z</dcterms:created>
  <dc:creator>Apache POI</dc:creator>
</cp:coreProperties>
</file>