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1.010582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hiệu trưởng trường cao đẳng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Đề xuất nhân sự giữ chức hiệu trưởng
Hội đồng quản trị hoặc thành viên duy nhất sở hữu trường căn cứ tiêu chuẩn hiệu trưởng quy định tại khoản 2 Điều 14 Luật Giáo dục nghề nghiệp, lựa chọn, lập hồ sơ theo quy định.
Bước 2: Tổ chức họp hội đồng quản trị để đề nghị công nhận hiệu trưởng.
Bước 3: Quyết định công nhận hiệu trưởng trường cao đẳng tư thục.
- Hội đồng quản trị hoặc thành viên duy nhất sở hữu trường lập hồ sơ đề nghị công nhận hiệu trưởng trường cao đăng tư thục gửi Cục Giáo dục nghề nghiệp và Giáo dục thường xuyên.
- Cục Giáo dục nghề nghiệp và Giáo dục thường xuyên trình Bộ trưởng Bộ Giáo dục và Đào tạo quyết định công nhận hiệu trưởng trường cao đẳng tư thục. Trường hợp không công nhận,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hội đồng quản trị hoặc thành viên duy nhất sở hữu trường đề nghị công nhận hiệu trưởng (Mẫu số 12 Phụ lục ban hành kèm theo Thông tư số 15/2021/TT-BLĐTBXH).</w:t>
            </w:r>
          </w:p>
        </w:tc>
        <w:tc>
          <w:p/>
          <w:p>
            <w:pPr>
              <w:spacing w:after="0" w:before="0" w:lineRule="auto" w:line="276"/>
              <w:jc w:val="left"/>
            </w:pPr>
            <w:r>
              <w:rPr>
                <w:rFonts w:ascii="Times New Roman" w:hAnsi="Times New Roman" w:cs="Times New Roman" w:eastAsia="Times New Roman"/>
                <w:b w:val="false"/>
                <w:sz w:val="26"/>
              </w:rPr>
              <w:t>Mau so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hội đồng quản trị đề nghị công nhận hiệu trưởng (Mẫu số 13 Phụ lục ban hành kèm theo Thông tư số 15/2021/TT-BLĐTBXH).</w:t>
            </w:r>
          </w:p>
        </w:tc>
        <w:tc>
          <w:p/>
          <w:p>
            <w:pPr>
              <w:spacing w:after="0" w:before="0" w:lineRule="auto" w:line="276"/>
              <w:jc w:val="left"/>
            </w:pPr>
            <w:r>
              <w:rPr>
                <w:rFonts w:ascii="Times New Roman" w:hAnsi="Times New Roman" w:cs="Times New Roman" w:eastAsia="Times New Roman"/>
                <w:b w:val="false"/>
                <w:sz w:val="26"/>
              </w:rPr>
              <w:t>Mau so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bằng, chứng chỉ đào tạo, bồi dưỡng của người được đề nghị công nhận giữ chức hiệu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hiệu trưởng trường cao đẳng tư thục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15/2021/TT-BLĐTBXH</w:t>
            </w:r>
          </w:p>
        </w:tc>
        <w:tc>
          <w:p/>
          <w:p>
            <w:pPr>
              <w:spacing w:after="0" w:before="0" w:lineRule="auto" w:line="276"/>
              <w:jc w:val="left"/>
            </w:pPr>
            <w:r>
              <w:rPr>
                <w:rFonts w:ascii="Times New Roman" w:hAnsi="Times New Roman" w:cs="Times New Roman" w:eastAsia="Times New Roman"/>
                <w:b w:val="false"/>
                <w:sz w:val="26"/>
              </w:rPr>
              <w:t>Quy định Điều lệ trường cao đẳng</w:t>
            </w:r>
          </w:p>
        </w:tc>
        <w:tc>
          <w:p/>
          <w:p>
            <w:pPr>
              <w:spacing w:after="0" w:before="0" w:lineRule="auto" w:line="276"/>
              <w:jc w:val="left"/>
            </w:pPr>
            <w:r>
              <w:rPr>
                <w:rFonts w:ascii="Times New Roman" w:hAnsi="Times New Roman" w:cs="Times New Roman" w:eastAsia="Times New Roman"/>
                <w:b w:val="false"/>
                <w:sz w:val="26"/>
              </w:rPr>
              <w:t>21-10-2021</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đủ các tiêu chuẩn theo quy định tại khoản 2 Điều 14 Luật Giáo dục nghề nghiệp, gồm:
+ Có phẩm chất, đạo đức tốt, đã có ít nhất là 05 năm làm công tác giảng dạy hoặc tham gia quản lý giáo dục nghề nghiệp..
+ Có bằng thạc sỹ trở lên.
+ Đã qua đào tạo, bồi dưỡng về nghiệp vụ quản lý giáo dục nghề nghiệp.
+  Có đủ sức khoẻ.
- Không là cán bộ, công chức, viên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https://thutuc.dichvucong.gov.vn/p/home/dvc-tthc-thu-tuc-hanh-chinh-chi-tiet.html?ma_thu_tuc=293153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2025-11-27T09:08:57Z</dcterms:created>
  <dc:creator>Apache POI</dc:creator>
</cp:coreProperties>
</file>