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1.010928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liên kết đào tạo với nước ngoài của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Các bên liên kết gửi hồ sơ theo quy định tại điểm a khoản 5 Điều 71 Phụ lục I kèm theo Nghị định 142/2025/NĐ-CP qua cổng dịch vụ công trực tuyến hoặc bưu chính hoặc trực tiếp đến Sở Giáo dục và Đào tạo nơi tổ chức hoạt động liên kết đào tạo với nước ngoài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false"/>
          <w:sz w:val="26"/>
        </w:rPr>
        <w:t>b) Trong thời hạn 10 ngày làm việc kể từ ngày nhận được hồ sơ, Sở Giáo dục và Đào tạo thẩm định hồ sơ và quyết định chấm dứt hoạt động liên kết đào tạo với nước ngoài. Trường hợp không quyết định thì có văn bản trả lời và nêu rõ lý do;</w:t>
      </w:r>
    </w:p>
    <w:p>
      <w:pPr>
        <w:spacing w:after="0" w:before="0" w:lineRule="auto" w:line="276"/>
        <w:jc w:val="both"/>
      </w:pPr>
      <w:r>
        <w:rPr>
          <w:rFonts w:ascii="Times New Roman" w:hAnsi="Times New Roman" w:cs="Times New Roman" w:eastAsia="Times New Roman"/>
          <w:b w:val="false"/>
          <w:sz w:val="26"/>
        </w:rPr>
        <w:t>c) Quyết định chấm dứt hoạt động liên kết đào tạo với nước ngoài phải nêu lý do chấm dứt; biện pháp bảo đảm quyền và lợi ích hợp pháp của người học, nhà giáo, cán bộ quản lý, nhân viên và người lao động. Quyết định chấm dứt hoạt động liên kết đào tạo với nước ngoài được công bố công khai trên phương tiện thông tin đại chúng, trang thông tin điện tử của cơ sở bị chấm dứt hoạt động liên kết đào tạo, trang thông tin điện tử của cơ quan quyết định chấm dứt hoạt động liên kết đào tạo và thông báo đến cơ quan liên quan để phối hợp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chấm dứt hoạt động liên kết đào của các bên liên kết, trong đó nêu rõ lý do đề nghị chấm dứt hoạt động liên kết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chấm dứt hoạt động liên kết đào tạo, trong đó nêu rõ lý do, nội dung chấm dứt, phương án giải quyết quyền và lợi ích hợp pháp của người học, nhà giáo, cán bộ quản lý, nhân viên và người lao động; thanh toán các khoản nợ thuê và các khoản nợ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liên kết đào tạo với nước ngoài của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https://thutuc.dichvucong.gov.vn/p/home/dvc-tthc-thu-tuc-hanh-chinh-chi-tiet.html?ma_thu_tuc=299924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2025-11-27T09:09:42Z</dcterms:created>
  <dc:creator>Apache POI</dc:creator>
</cp:coreProperties>
</file>