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trung học phổ thông, trường phổ thông có nhiều cấp học có cấp học cao nhất là trung học phổ thông (theo đề nghị của cá nhân, tổ chức thành lập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quan, tổ chức, cá nhân gửi 01 bộ hồ sơ quy định tại điểm b khoản 3 Điều 22 Phụ lục II kèm theo Nghị định 142/2025/NĐ-CP) qua cổng dịch vụ công trực tuyến hoặc bưu chính hoặc trực tiếp đến Ủy ban nhân dân cấp tỉnh theo thẩm quyền.</w:t>
      </w:r>
    </w:p>
    <w:p>
      <w:pPr>
        <w:spacing w:after="0" w:before="0" w:lineRule="auto" w:line="276"/>
        <w:jc w:val="both"/>
      </w:pPr>
      <w:r>
        <w:rPr>
          <w:rFonts w:ascii="Times New Roman" w:hAnsi="Times New Roman" w:cs="Times New Roman" w:eastAsia="Times New Roman"/>
          <w:b w:val="false"/>
          <w:sz w:val="26"/>
        </w:rPr>
        <w:t>b) Trong thời hạn 20 ngày làm việc, kể từ ngày nhận được hồ sơ đề nghị giải thể trường trung học, Ủy ban nhân dân cấp tỉnh theo thẩm quyền quyết định việc giải thể trường trung học phổ thông; nếu chưa quyết định giải thể thì thông báo bằng văn bản cho cơ quan, tổ chức, cá nhân đề nghị giải thể và nêu rõ lý do.</w:t>
      </w:r>
    </w:p>
    <w:p>
      <w:pPr>
        <w:spacing w:after="0" w:before="0" w:lineRule="auto" w:line="276"/>
        <w:jc w:val="both"/>
      </w:pPr>
      <w:r>
        <w:rPr>
          <w:rFonts w:ascii="Times New Roman" w:hAnsi="Times New Roman" w:cs="Times New Roman" w:eastAsia="Times New Roman"/>
          <w:b w:val="false"/>
          <w:sz w:val="26"/>
        </w:rPr>
        <w:t>Quyết định giải thể trường trung học phổ thông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của cơ quan, tổ chức, cá nhân thành lập trường (theo Mẫu số 06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Mus06PLII.doc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giải thể trường trung học (theo Mẫu số 07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Mus07PLII.doc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trường trung học phổ thông, trường phổ thông có nhiều cấp học có cấp học cao nhất là trung học phổ thông của Ủy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https://thutuc.dichvucong.gov.vn/p/home/dvc-tthc-thu-tuc-hanh-chinh-chi-tiet.html?ma_thu_tuc=358474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2025-11-27T09:10:46Z</dcterms:created>
  <dc:creator>Apache POI</dc:creator>
</cp:coreProperties>
</file>