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1.012969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1650/QĐ-BGDĐT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Thành lập hoặc cho phép thành lập trung tâm học tập cộng đồng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thường xuyên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Tổ chức, cá nhân gửi 01 bộ hồ sơ quy định qua cổng dịch vụ công trực tuyến hoặc bưu chính hoặc trực tiếp đến Ủy ban nhân dân cấp xã;</w:t>
      </w:r>
    </w:p>
    <w:p>
      <w:pPr>
        <w:spacing w:after="0" w:before="0" w:lineRule="auto" w:line="276"/>
        <w:jc w:val="both"/>
      </w:pPr>
      <w:r>
        <w:rPr>
          <w:rFonts w:ascii="Times New Roman" w:hAnsi="Times New Roman" w:cs="Times New Roman" w:eastAsia="Times New Roman"/>
          <w:b w:val="false"/>
          <w:sz w:val="26"/>
        </w:rPr>
        <w:t>b) Trong thời hạn 05 ngày làm việc, kể từ ngày nhận đủ hồ sơ, nếu hồ sơ không hợp lệ thì Ủy ban nhân dân cấp xã thông báo bằng văn bản những nội dung cần chỉnh sửa, bổ sung cho cơ quan, tổ chức, cá nhân đề nghị thành lập hoặc cho phép thành lập trung tâm;</w:t>
      </w:r>
    </w:p>
    <w:p>
      <w:pPr>
        <w:spacing w:after="0" w:before="0" w:lineRule="auto" w:line="276"/>
        <w:jc w:val="both"/>
      </w:pPr>
      <w:r>
        <w:rPr>
          <w:rFonts w:ascii="Times New Roman" w:hAnsi="Times New Roman" w:cs="Times New Roman" w:eastAsia="Times New Roman"/>
          <w:b w:val="false"/>
          <w:sz w:val="26"/>
        </w:rPr>
        <w:t>c) Trong thời hạn 15 ngày làm việc, kể từ ngày nhận đủ hồ sơ hợp lệ, Ủy ban nhân dân cấp xã tổ chức thẩm định hồ sơ và thẩm định thực tế (nếu cần thiết) các điều kiện thành lập trung tâm; nếu đủ điều kiện thì Chủ tịch Ủy ban nhân dân cấp xã quyết định thành lập trung tâm học tập cộng đồng công lập hoặc cho phép thành lập trung tâm học tập cộng đồng tư thục; nếu chưa đủ điều kiện thì thông báo bằng văn bản cho cơ quan, tổ chức, cá nhân đề nghị thành lập trung tâm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hồ sơ hợp lệ: 15 ngày làm việc, kể từ ngày nhận đủ hồ sơ hợp lệ.
- Trường hợp hồ sơ không hợp lệ: Trong thời hạn 05 ngày làm việc, kể từ ngày nhận đủ hồ sơ, nếu hồ sơ không hợp lệ thì Ủy ban nhân dân cấp xã thông báo bằng văn bản những nội dung cần chỉnh sửa, bổ sung cho cơ quan, tổ chức, cá nhân đề nghị thành lập hoặc cho phép thành lập trung tâm.</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hồ sơ hợp lệ: 15 ngày làm việc, kể từ ngày nhận đủ hồ sơ hợp lệ.
- Trường hợp hồ sơ không hợp lệ: Trong thời hạn 05 ngày làm việc, kể từ ngày nhận đủ hồ sơ, nếu hồ sơ không hợp lệ thì Ủy ban nhân dân cấp xã thông báo bằng văn bản những nội dung cần chỉnh sửa, bổ sung cho cơ quan, tổ chức, cá nhân đề nghị thành lập hoặc cho phép thành lập trung tâm.</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hồ sơ hợp lệ: 15 ngày làm việc, kể từ ngày nhận đủ hồ sơ hợp lệ.
- Trường hợp hồ sơ không hợp lệ: Trong thời hạn 05 ngày làm việc, kể từ ngày nhận đủ hồ sơ, nếu hồ sơ không hợp lệ thì Ủy ban nhân dân cấp xã thông báo bằng văn bản những nội dung cần chỉnh sửa, bổ sung cho cơ quan, tổ chức, cá nhân đề nghị thành lập hoặc cho phép thành lập trung tâm.</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Bản sao văn bản pháp lý chứng minh về quyền sử dụng đất, quyền sở hữu nhà ở hoặc hợp đồng thuê địa điểm trung tâm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Văn bản pháp lý xác nhận về số tiền đầu tư thành lập trung tâm, bảo đảm tính hợp pháp, phù hợp với quy mô dự kiến tại thời điểm đề nghị thành lập trung tâm (Đối với trung tâm tư thục)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Tờ trình đề nghị thành lập hoặc cho phép thành lập trung tâm học tập cộng đồng (theo Mẫu số 01 Phụ lục II kèm theo Nghị định số 142/2025/NĐ-CP).</w:t>
            </w:r>
          </w:p>
        </w:tc>
        <w:tc>
          <w:p/>
          <w:p>
            <w:pPr>
              <w:spacing w:after="0" w:before="0" w:lineRule="auto" w:line="276"/>
              <w:jc w:val="left"/>
            </w:pPr>
            <w:r>
              <w:rPr>
                <w:rFonts w:ascii="Times New Roman" w:hAnsi="Times New Roman" w:cs="Times New Roman" w:eastAsia="Times New Roman"/>
                <w:b w:val="false"/>
                <w:sz w:val="26"/>
              </w:rPr>
              <w:t>Mus01_PL2.doc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thành lập trung tâm học tập cộng đồng của Chủ tịch Ủy ban nhân dân cấp xã.</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125/2024/NĐ-CP</w:t>
            </w:r>
          </w:p>
        </w:tc>
        <w:tc>
          <w:p/>
          <w:p>
            <w:pPr>
              <w:spacing w:after="0" w:before="0" w:lineRule="auto" w:line="276"/>
              <w:jc w:val="left"/>
            </w:pPr>
            <w:r>
              <w:rPr>
                <w:rFonts w:ascii="Times New Roman" w:hAnsi="Times New Roman" w:cs="Times New Roman" w:eastAsia="Times New Roman"/>
                <w:b w:val="false"/>
                <w:sz w:val="26"/>
              </w:rPr>
              <w:t>Nghị định quy định điều kiện đầu tư và hoạt động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số 142/2025/NĐ-CP</w:t>
            </w:r>
          </w:p>
        </w:tc>
        <w:tc>
          <w:p/>
          <w:p>
            <w:pPr>
              <w:spacing w:after="0" w:before="0" w:lineRule="auto" w:line="276"/>
              <w:jc w:val="left"/>
            </w:pPr>
            <w:r>
              <w:rPr>
                <w:rFonts w:ascii="Times New Roman" w:hAnsi="Times New Roman" w:cs="Times New Roman" w:eastAsia="Times New Roman"/>
                <w:b w:val="false"/>
                <w:sz w:val="26"/>
              </w:rPr>
              <w:t>Nghị định số 142/2025/NĐ-CP của Chính phủ: Quy định về phân định thẩm quyền của chính quyền địa phương hai cấp trong lĩnh vực quản lý nhà nước của Bộ Giáo dục và Đào tạo</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Có địa điểm, phòng học, phòng làm việc, thiết bị đáp ứng yêu cầu của các hoạt động giáo dục tại trung tâm.
b) Có chương trình giáo dục, kế hoạch học tập, tài liệu học tập phù hợp với các hoạt động giáo dục tại trung tâm theo quy định của Bộ Giáo dục và Đào tạo.
c) Có cán bộ quản lý, giáo viên đáp ứng yêu cầu của các hoạt động giáo dục tại trung tâm theo quy định của Bộ Giáo dục và Đào tạo.</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https://thutuc.dichvucong.gov.vn/p/home/dvc-tthc-thu-tuc-hanh-chinh-chi-tiet.html?ma_thu_tuc=358536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2025-11-27T09:11:14Z</dcterms:created>
  <dc:creator>Apache POI</dc:creator>
</cp:coreProperties>
</file>