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cơ sở giáo dục mầm non độc lập (theo đề nghị của tổ chức, cá nhân thành lập trường)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mầm non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điểm b khoản 3 Điều 9 Phụ lục I Nghị định số 142/2025/NĐ-CP qua cổng dịch vụ công trực tuyến hoặc bưu chính hoặc trực tiếp tới Ủy ban nhân dân cấp xã.</w:t>
      </w:r>
    </w:p>
    <w:p>
      <w:pPr>
        <w:spacing w:after="0" w:before="0" w:lineRule="auto" w:line="276"/>
        <w:jc w:val="both"/>
      </w:pPr>
      <w:r>
        <w:rPr>
          <w:rFonts w:ascii="Times New Roman" w:hAnsi="Times New Roman" w:cs="Times New Roman" w:eastAsia="Times New Roman"/>
          <w:b w:val="false"/>
          <w:sz w:val="26"/>
        </w:rPr>
        <w:t>b) Trong thời hạn 10 ngày, kể từ ngày nhận đủ hồ sơ đề nghị giải thể, Chủ tịch Ủy ban nhân dân cấp xã xem xét quyết định việc giải thể cơ sở giáo dục mầm non độc lập.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đề nghị giải thể.</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đề nghị giải thể.</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đề nghị giải thể.</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Phương án xử lý về tổ chức bộ máy, nhân sự, tài chính, tài sản, đất đai và các vấn đề khác có liên quan đến cơ sở giáo dục mầm non độc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trình đề nghị giải thể cơ sở giáo dục mầm non độc lập (theo Mẫu số 06 Phụ lục II kèm theo Nghị định số 142/2025/NĐ-CP ).</w:t>
            </w:r>
          </w:p>
        </w:tc>
        <w:tc>
          <w:p/>
          <w:p>
            <w:pPr>
              <w:spacing w:after="0" w:before="0" w:lineRule="auto" w:line="276"/>
              <w:jc w:val="left"/>
            </w:pPr>
            <w:r>
              <w:rPr>
                <w:rFonts w:ascii="Times New Roman" w:hAnsi="Times New Roman" w:cs="Times New Roman" w:eastAsia="Times New Roman"/>
                <w:b w:val="false"/>
                <w:sz w:val="26"/>
              </w:rPr>
              <w:t>Mus06PL2.doc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cơ sở giáo dục mầm non độc lập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2025-11-27T09:10:56Z</dcterms:created>
  <dc:creator>Apache POI</dc:creator>
</cp:coreProperties>
</file>