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cơ sở giáo dục khác thực hiện chương trình giáo dục phổ thông cấp tiểu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16 Nghị định số 142/2025/NĐ-CP qua cổng dịch vụ công trực tuyến hoặc bưu chính hoặc trực tiếp tới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được hồ sơ, nếu hồ sơ không hợp lệ thì Ủy ban nhân dân cấp xã thông báo bằng văn bản cho tổ chức, cá nhân.</w:t>
      </w:r>
    </w:p>
    <w:p>
      <w:pPr>
        <w:spacing w:after="0" w:before="0" w:lineRule="auto" w:line="276"/>
        <w:jc w:val="both"/>
      </w:pPr>
      <w:r>
        <w:rPr>
          <w:rFonts w:ascii="Times New Roman" w:hAnsi="Times New Roman" w:cs="Times New Roman" w:eastAsia="Times New Roman"/>
          <w:b w:val="false"/>
          <w:sz w:val="26"/>
        </w:rPr>
        <w:t>c) Trong thời hạn 10 ngày, kể từ ngày nhận đủ hồ sơ hợp lệ, Chủ tịch Ủy ban nhân dân cấp xã xem xét, quyết định việc cho phép cơ sở giáo dục khác thực hiện chương trình giáo dục phổ thông cấp tiểu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nhận bảo trợ của một trường tiểu học cùng địa bàn trong huyện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cho phép thực hiện chương trình giáo dục phổ thông cấp tiểu học (theo Mẫu số 09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Mus09PL2.doc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cơ sở giáo dục khác thực hiện chương trình giáo dục phổ thông cấp tiểu học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đội ngũ cán bộ quản lý, giáo viên đạt tiêu chuẩn bảo đảm thực hiện chương trình giáo dục phổ thông cấp tiểu học.
b) Phòng học bảo đảm đúng quy cách, an toàn cho giáo viên và học sinh theo quy định về vệ sinh trường học; bảo đảm điều kiện cho học sinh khuyết tật tiếp cận sử dụng theo quy định của Bộ Giáo dục và Đào tạo.
c) Có các thiết bị, tài liệu giảng dạy và học tập phù hợp với chương trình giáo dục phổ thông cấp tiểu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2025-11-27T09:11:38Z</dcterms:created>
  <dc:creator>Apache POI</dc:creator>
</cp:coreProperties>
</file>