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đổi tên trung tâm giáo dục nghề nghiệp, trường trung cấp tư thục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cho phép đổi tên cơ sở giáo dục nghề nghiệp gửi hồ sơ theo quy định tại khoản 1 Điều 60 Phụ lục I kèm theo Nghị định 142/2025/NĐ-CP qua cổng dịch vụ công trực tuyến hoặc bưu chính hoặc trực tiếp đến Sở Giáo dục và Đào tạo;
b) Trong thời hạn 03 ngày làm việc kể từ ngày nhận được hồ sơ đề nghị cho phép đổi tên cơ sở giáo dục nghề nghiệp, Sở Giáo dục và Đào tạo trình Chủ tịch Ủy ban nhân dân tỉnh quyết định cho phép đổi tên cơ sở giáo dục nghề nghiệp theo Mẫu số 02 Phụ lục VI kèm theo Nghị định 142/2025/NĐ-CP. Trường hợp không quyết định đổi tên, cho phép đổi tên thì có văn bản trả lời và nêu rõ lý do;
Ủy ban nhân dân cấp tỉnh thực hiện công khai quyết định cho phép đổi tên cơ sở giáo dục nghề nghiệp trên trang thông tin điện tử của cơ quan mình.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đổi tên của tổ chức, cá nhân sở hữu hoặc hội đồng quản trị đối với cơ sở giáo dục nghề nghiệp tư thục theo Mẫu số 01 Phụ lục VI kèm theo Nghị định 142/2025/NĐ-CP.</w:t>
            </w:r>
          </w:p>
        </w:tc>
        <w:tc>
          <w:p/>
          <w:p>
            <w:pPr>
              <w:spacing w:after="0" w:before="0" w:lineRule="auto" w:line="276"/>
              <w:jc w:val="left"/>
            </w:pPr>
            <w:r>
              <w:rPr>
                <w:rFonts w:ascii="Times New Roman" w:hAnsi="Times New Roman" w:cs="Times New Roman" w:eastAsia="Times New Roman"/>
                <w:b w:val="false"/>
                <w:sz w:val="26"/>
              </w:rPr>
              <w:t>Mus01_PL6..doc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đổi tên trung tâm giáo dục nghề nghiệp, trường trung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2025-11-27T09:12:34Z</dcterms:created>
  <dc:creator>Apache POI</dc:creator>
</cp:coreProperties>
</file>