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1.013767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chấm dứt hoạt động cơ sở giáo dục mầm non, cơ sở giáo dục phổ thông do cơ quan đại diện ngoại giao nước ngoài, tổ chức quốc tế liên chính phủ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Nhà đầu tư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20 ngày làm việc kể từ ngày nhận được hồ sơ hợp lệ,  Sở Giáo dục và Đào tạo tổ chức thẩm định hồ sơ; nếu đủ điều kiện thì Sở Giáo dục và Đào tạo trình Chủ tịch Ủy ban nhân dân cấp tỉnh quyết định; nếu chưa đủ điều kiện thì thông báo thông báo bằng văn bản gửi trực tiếp hoặc qua dịch vụ bưu điện cho nhà đầu tư, trong đó nêu rõ lý do.
Quyết định giải thể, chấm dứt hoạt động của cơ sở giáo dục phải ghi rõ lý do giải thể, chấm dứt hoạt động, các biện pháp bảo đảm quyền hợp pháp của người học, nhà giáo, cán bộ quản lý và nhân viên và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20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20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giải thể, chấm dứt hoạt động của cơ sở giáo dục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chấm dứt hoạt động của cơ sở giáo dục mầm non, cơ sở giáo dục phổ thông do cơ quan đại diện ngoại giao nước ngoài, tổ chức quốc tế liên chính phủ thành lập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86/2018/NĐ-CP</w:t>
            </w:r>
          </w:p>
        </w:tc>
        <w:tc>
          <w:p/>
          <w:p>
            <w:pPr>
              <w:spacing w:after="0" w:before="0" w:lineRule="auto" w:line="276"/>
              <w:jc w:val="left"/>
            </w:pPr>
            <w:r>
              <w:rPr>
                <w:rFonts w:ascii="Times New Roman" w:hAnsi="Times New Roman" w:cs="Times New Roman" w:eastAsia="Times New Roman"/>
                <w:b w:val="false"/>
                <w:sz w:val="26"/>
              </w:rPr>
              <w:t>ề quy định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nhà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https://thutuc.dichvucong.gov.vn/p/home/dvc-tthc-thu-tuc-hanh-chinh-chi-tiet.html?ma_thu_tuc=383778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2025-11-27T09:12:10Z</dcterms:created>
  <dc:creator>Apache POI</dc:creator>
</cp:coreProperties>
</file>