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2.000466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thể cơ sở giáo dục đại học có vốn đầu tư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Nhà đầu tư nộp hồ sơ đề nghị giải thể cho Bộ Giáo dục và Đào tạo.</w:t>
      </w:r>
    </w:p>
    <w:p>
      <w:pPr>
        <w:spacing w:after="0" w:before="0" w:lineRule="auto" w:line="276"/>
        <w:jc w:val="both"/>
      </w:pPr>
      <w:r>
        <w:rPr>
          <w:rFonts w:ascii="Times New Roman" w:hAnsi="Times New Roman" w:cs="Times New Roman" w:eastAsia="Times New Roman"/>
          <w:b w:val="false"/>
          <w:sz w:val="26"/>
        </w:rPr>
        <w:t>Bước 2: Trong thời hạn 05 ngày làm việc kể từ ngày nhận hồ sơ, nếu hồ sơ không đáp ứng yêu cầu quy định thì cơ quan tiếp nhận hồ sơ thông báo bằng văn bản gửi trực tiếp hoặc qua dịch vụ bưu chính hoặc thư điện tử cho nhà đầu tư</w:t>
      </w:r>
    </w:p>
    <w:p>
      <w:pPr>
        <w:spacing w:after="0" w:before="0" w:lineRule="auto" w:line="276"/>
        <w:jc w:val="both"/>
      </w:pPr>
      <w:r>
        <w:rPr>
          <w:rFonts w:ascii="Times New Roman" w:hAnsi="Times New Roman" w:cs="Times New Roman" w:eastAsia="Times New Roman"/>
          <w:b w:val="false"/>
          <w:sz w:val="26"/>
        </w:rPr>
        <w:t>Bước 3: Trong thời hạn 30 ngày làm việc kể từ ngày nhận đủ hồ sơ, cơ quan tiếp nhận hồ sơ chủ trì thẩm định, trình Thủ tướng Chính phủ xem xét, quyết định.
Quyết định giải thể, chấm dứt hoạt động của cơ sở giáo dục phải ghi rõ lý do giải thể, chấm dứt hoạt động, các biện pháp đảm bảo quyền hợp pháp của người học, nhà giáo, cán bộ quản lý và nhân viên phải được công bố công khai trên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Trong thời hạn 30 ngày làm việc kể từ ngày nhận đủ hồ sơ, cơ quan tiếp nhận hồ sơ chủ trì thẩm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Trong thời hạn 30 ngày làm việc kể từ ngày nhận đủ hồ sơ, cơ quan tiếp nhận hồ sơ chủ trì thẩm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giải thể cơ sở giáo dục đại học có vốn đầu tư nước ngoài tại Việt Nam</w:t>
            </w:r>
          </w:p>
        </w:tc>
        <w:tc>
          <w:p/>
          <w:p>
            <w:pPr>
              <w:spacing w:after="0" w:before="0" w:lineRule="auto" w:line="276"/>
              <w:jc w:val="left"/>
            </w:pPr>
            <w:r>
              <w:rPr>
                <w:rFonts w:ascii="Times New Roman" w:hAnsi="Times New Roman" w:cs="Times New Roman" w:eastAsia="Times New Roman"/>
                <w:b w:val="false"/>
                <w:sz w:val="26"/>
              </w:rPr>
              <w:t>Mẫu số 45.docx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Phương án giải thể, chấm dứt hoạt động của cơ sở giáo dục đại học có vốn đầu tư nước ngoài trong đó nêu rõ các biện pháp bảo đảm quyền lợi hợp pháp của người học, nhà giáo cán bộ quản lý và nhân viên; phương án giải quyết tài chính, tài sản</w:t>
            </w:r>
          </w:p>
        </w:tc>
        <w:tc>
          <w:p/>
          <w:p>
            <w:pPr>
              <w:spacing w:after="0" w:before="0" w:lineRule="auto" w:line="276"/>
              <w:jc w:val="left"/>
            </w:pPr>
            <w:r>
              <w:rPr>
                <w:rFonts w:ascii="Times New Roman" w:hAnsi="Times New Roman" w:cs="Times New Roman" w:eastAsia="Times New Roman"/>
                <w:b w:val="false"/>
                <w:sz w:val="26"/>
              </w:rPr>
              <w:t>Mẫu số 52.docx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Doanh nghiệp có vốn đầu tư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Giáo dục và Đào tạo, Thủ tướng Chính phủ</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Thủ tướng Chính phủ</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giải thể cơ sở giáo dục đại học có vốn đầu tư nước ngoài tại Việt Nam của Thủ tướng Chính phủ</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Theo đề nghị của nhà đầu tư</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https://thutuc.dichvucong.gov.vn/p/home/dvc-tthc-thu-tuc-hanh-chinh-chi-tiet.html?ma_thu_tuc=1440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2025-11-27T09:05:45Z</dcterms:created>
  <dc:creator>Apache POI</dc:creator>
</cp:coreProperties>
</file>