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hoạt động giáo dục trở lại đối với cơ sở giáo dục đại học và phân hiệu của cơ sở giáo dục đại học có vốn đầu tư nước ngoài, phân hiệu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giáo dục đại học, phân hiệu của cơ sở giáo dục đại học có vốn đầu tư nước ngoài, phân hiệu cơ sở giáo dục đại học nước ngoài tại Việt Nam bị đình chỉ hoạt động gửi hồ sơ đến Bộ Giáo dục và Đào tạo</w:t>
      </w:r>
    </w:p>
    <w:p>
      <w:pPr>
        <w:spacing w:after="0" w:before="0" w:lineRule="auto" w:line="276"/>
        <w:jc w:val="both"/>
      </w:pPr>
      <w:r>
        <w:rPr>
          <w:rFonts w:ascii="Times New Roman" w:hAnsi="Times New Roman" w:cs="Times New Roman" w:eastAsia="Times New Roman"/>
          <w:b w:val="false"/>
          <w:sz w:val="26"/>
        </w:rPr>
        <w:t>Bước 2: Trường hợp hồ sơ không đầy đủ, trong thời hạn 05 ngày làm việc kể từ ngày tiếp nhận hồ sơ, cơ quan tiếp nhận hồ sơ thông báo bằng văn bản gửi trực tiếp hoặc qua dịch vụ bưu chính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thời hạn 20 ngày làm việc kể từ ngày nhận đủ hồ sơ đề nghị cho phép hoạt động giáo dục trở lại hợp lệ, cơ quan tiếp nhận hồ sơ chủ trì, phối hợp với các cơ quan, đơn vị có liên quan thẩm định và trình cấp có thẩm quyền xem xét, quyết định.</w:t>
      </w:r>
    </w:p>
    <w:p>
      <w:pPr>
        <w:spacing w:after="0" w:before="0" w:lineRule="auto" w:line="276"/>
        <w:jc w:val="both"/>
      </w:pPr>
      <w:r>
        <w:rPr>
          <w:rFonts w:ascii="Times New Roman" w:hAnsi="Times New Roman" w:cs="Times New Roman" w:eastAsia="Times New Roman"/>
          <w:b w:val="false"/>
          <w:sz w:val="26"/>
        </w:rPr>
        <w:t>Trường hợp cơ sở giáo dục chưa đủ điều kiện để hoạt động trở lại, trong thời hạn 05 ngày làm việc kể từ ngày nhận được ý kiến của cấp có thẩm quyền, cơ quan tiếp nhận hồ sơ trả lời bằng văn bản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đề nghị cho phép hoạt động giáo dục trở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đề nghị cho phép hoạt động giáo dục trở lại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hoạt động giáo dục trở lại, trong đó nêu rõ kết quả khắc phục vi phạm dẫn đến bị đình chỉ</w:t>
            </w:r>
          </w:p>
        </w:tc>
        <w:tc>
          <w:p/>
          <w:p>
            <w:pPr>
              <w:spacing w:after="0" w:before="0" w:lineRule="auto" w:line="276"/>
              <w:jc w:val="left"/>
            </w:pPr>
            <w:r>
              <w:rPr>
                <w:rFonts w:ascii="Times New Roman" w:hAnsi="Times New Roman" w:cs="Times New Roman" w:eastAsia="Times New Roman"/>
                <w:b w:val="false"/>
                <w:sz w:val="26"/>
              </w:rPr>
              <w:t>Mẫu số 44.docx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khắc phục vi phạm dẫn đến bị đình chỉ</w:t>
            </w:r>
          </w:p>
        </w:tc>
        <w:tc>
          <w:p/>
          <w:p>
            <w:pPr>
              <w:spacing w:after="0" w:before="0" w:lineRule="auto" w:line="276"/>
              <w:jc w:val="left"/>
            </w:pPr>
            <w:r>
              <w:rPr>
                <w:rFonts w:ascii="Times New Roman" w:hAnsi="Times New Roman" w:cs="Times New Roman" w:eastAsia="Times New Roman"/>
                <w:b w:val="false"/>
                <w:sz w:val="26"/>
              </w:rPr>
              <w:t>Mẫu số 50.docx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cho phép hoạt động giáo dục trở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giáo dục đại học có vốn đầu tư nước ngoài hoặc phân hiệu của cơ sở giáo dục đại học có vốn đầu tư nước ngoài, phân hiệu cơ sở giáo dục đại học nước ngoài được cho phép hoạt động trở lại khi khắc phục được vi phạm dẫn đến bị đình chỉ hoạt động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2025-11-27T09:04:48Z</dcterms:created>
  <dc:creator>Apache POI</dc:creator>
</cp:coreProperties>
</file>