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liên kết tổ chức thi cấp chứng chỉ năng lực ngoại ngữ của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bên liên kết nộp hồ sơ đến Bộ Giáo dục và Đào tạo.</w:t>
      </w:r>
    </w:p>
    <w:p>
      <w:pPr>
        <w:spacing w:after="0" w:before="0" w:lineRule="auto" w:line="276"/>
        <w:jc w:val="both"/>
      </w:pPr>
      <w:r>
        <w:rPr>
          <w:rFonts w:ascii="Times New Roman" w:hAnsi="Times New Roman" w:cs="Times New Roman" w:eastAsia="Times New Roman"/>
          <w:b w:val="false"/>
          <w:sz w:val="26"/>
        </w:rPr>
        <w:t>Bước 2: Trong thời hạn 15 ngày làm việc, kể từ ngày nhận được hồ sơ hợp lệ, cơ quan tiếp nhận hồ sơ thẩm định, quyết định chấm dứt liên kết tổ chức thi cấp chứng chỉ năng lực ngoại ngữ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chấm dứt liên kết tổ chức thi cấp chứng chỉ ngoại ngữ của nước ngoài do các bên liên kết cùng ký theo Mẫu số 12 tại Phụ lục Nghị định số 86/2018/NĐ-CP kèm theo phương án chấm dứt liên kết, các biện pháp bảo đảm quyền lợi hợp pháp của người học, người lao động; phương án giải quyết tài chính, tài sản</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chấm dứt liên kết tổ chức thi cấp chứng chỉ năng lực ngoại ngữ của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Không được cơ sở tổ chức thi cấp chứng chỉ năng lực ngoại ngữ của nước ngoài cho phép tiếp tục tổ chức thi cấp chứng chỉ ngoại ngữ tại Việt Nam;
- Các bên liên kết khi chấm dứt liên kết tổ chức thi cấp chứng chỉ năng lực ngoại ngữ có trách nhiệm:
+ Bồi hoàn cho người đăng ký dự thi các khoản chi phí mà người đăng ký dự thi đã nộp nhưng chưa được tham dự thi;
+ Thực hiện đầy đủ nghĩa vụ với người lao động theo quy định của pháp luật (nếu có);
+ Thanh toán các khoản nợ thuế (nếu có) và các khoản nợ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Chi chú :
Đối tượng thực hiện thủ tục hành chính: Cơ sở giáo dục, đào tạo hoặc tổ chức được thành lập và hoạt động hợp pháp trong lĩnh vực giáo dục tại Việt Nam; cơ quan, tổ chức, cơ sở đánh giá năng lực ngoại ngữ được thành lập và hoạt động hợp pháp ở nước ngoài</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2025-11-27T09:06:15Z</dcterms:created>
  <dc:creator>Apache POI</dc:creator>
</cp:coreProperties>
</file>