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đối tượng học bổ túc trung học cơ sở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Đối tượng học bổ túc THCS cần ghi tên và nộp hồ sơ, học bạ (nếu có) tại các trung tâm giáo dục thường xuyên, các trường, lớp bổ túc văn hoá.</w:t>
      </w:r>
    </w:p>
    <w:p>
      <w:pPr>
        <w:spacing w:after="0" w:before="0" w:lineRule="auto" w:line="276"/>
        <w:jc w:val="both"/>
      </w:pPr>
      <w:r>
        <w:rPr>
          <w:rFonts w:ascii="Times New Roman" w:hAnsi="Times New Roman" w:cs="Times New Roman" w:eastAsia="Times New Roman"/>
          <w:b w:val="false"/>
          <w:sz w:val="26"/>
        </w:rPr>
        <w:t>Trường hợp không có hồ sơ, học bạ thì sở giáo dục và đào tạo tổ chức kiểm tra trình độ hai môn ngữ văn và toán. Căn cứ vào kết quả kiểm tra, Giám đốc sở giáo dục và đào tạo cấp giấy phép vào học tại lớp tương ứng với trình độ. Giấy cho phép vào học này là căn cứ đẻ thay học bạ các lớp dưới trong hồ sơ dự thi tốt nghiệp bổ túc THCS.</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Do sở giáo dục và đào tạo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Do sở giáo dục và đào tạo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Do sở giáo dục và đào tạo quy định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 hành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vào học tại lớp tương ứng với trình độ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75/2006/NĐ-CP</w:t>
            </w:r>
          </w:p>
        </w:tc>
        <w:tc>
          <w:p/>
          <w:p>
            <w:pPr>
              <w:spacing w:after="0" w:before="0" w:lineRule="auto" w:line="276"/>
              <w:jc w:val="left"/>
            </w:pPr>
            <w:r>
              <w:rPr>
                <w:rFonts w:ascii="Times New Roman" w:hAnsi="Times New Roman" w:cs="Times New Roman" w:eastAsia="Times New Roman"/>
                <w:b w:val="false"/>
                <w:sz w:val="26"/>
              </w:rPr>
              <w:t>Nghị định 75/2006/NĐ-CP</w:t>
            </w:r>
          </w:p>
        </w:tc>
        <w:tc>
          <w:p/>
          <w:p>
            <w:pPr>
              <w:spacing w:after="0" w:before="0" w:lineRule="auto" w:line="276"/>
              <w:jc w:val="left"/>
            </w:pPr>
            <w:r>
              <w:rPr>
                <w:rFonts w:ascii="Times New Roman" w:hAnsi="Times New Roman" w:cs="Times New Roman" w:eastAsia="Times New Roman"/>
                <w:b w:val="false"/>
                <w:sz w:val="26"/>
              </w:rPr>
              <w:t>02-08-2006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17/2003/TT-BGDĐT</w:t>
            </w:r>
          </w:p>
        </w:tc>
        <w:tc>
          <w:p/>
          <w:p>
            <w:pPr>
              <w:spacing w:after="0" w:before="0" w:lineRule="auto" w:line="276"/>
              <w:jc w:val="left"/>
            </w:pPr>
            <w:r>
              <w:rPr>
                <w:rFonts w:ascii="Times New Roman" w:hAnsi="Times New Roman" w:cs="Times New Roman" w:eastAsia="Times New Roman"/>
                <w:b w:val="false"/>
                <w:sz w:val="26"/>
              </w:rPr>
              <w:t>Thông tư 17/2003/TT-BGDĐT</w:t>
            </w:r>
          </w:p>
        </w:tc>
        <w:tc>
          <w:p/>
          <w:p>
            <w:pPr>
              <w:spacing w:after="0" w:before="0" w:lineRule="auto" w:line="276"/>
              <w:jc w:val="left"/>
            </w:pPr>
            <w:r>
              <w:rPr>
                <w:rFonts w:ascii="Times New Roman" w:hAnsi="Times New Roman" w:cs="Times New Roman" w:eastAsia="Times New Roman"/>
                <w:b w:val="false"/>
                <w:sz w:val="26"/>
              </w:rPr>
              <w:t>29-04-2003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2025-11-27T09:07:18Z</dcterms:created>
  <dc:creator>Apache POI</dc:creator>
</cp:coreProperties>
</file>