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2.001960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1674/QĐ-BGDĐT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chính sách nội trú cho học sinh, sinh viên tham gia chương trình đào tạo trình độ cao đẳng, trung cấp tại các cơ sở giáo dục nghề nghiệp tư thục hoặc cơ sở giáo dục có vốn đầu tư nước ngoài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nghề nghiệp (G07-LĐ06)</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Trong thời hạn 20 ngày làm việc kể từ ngày khai giảng, cơ sở giáo dục nghề nghiệp thông báo cho học sinh, sinh viên tham gia chương trình đào tạo trình độ trung cấp, cao đẳng tại cơ sở giáo dục nghề nghiệp về chính sách nội trú.
- Bước 2: Xác nhận đơn đề nghị cấp chính sách nội trú cho học sinh, sinh viên
Trong thời hạn 10 ngày làm việc kể từ ngày nhận được đơn đề nghị, thủ trưởng cơ sở giáo dục nghề nghiệp có trách nhiệm xác nhận vào đơn đề nghị cấp chính sách nội trú cho học sinh, sinh viên.
- Bước 3: Nộp hồ sơ
Học sinh, sinh viên thuộc đối tượng quy định tại Quyết định số 53/2015/QĐ-TTg nộp hồ sơ tới Ủy ban nhân dân cấp xã nơi học sinh, sinh viên đó có hộ khẩu thường trú.
- Bước 4: Thẩm định hồ sơ cấp chính sách nội trú
Ủy ban nhân dân cấp xã tổ chức đối chiếu, thẩm định, phê duyệt danh sách đối tượng được hưởng chính sách. Trường hợp hồ sơ không hợp lệ, Ủy ban nhân dân cấp xã có trách nhiệm thông báo cho người học được biết trong thời hạn 03 ngày làm việc kể từ ngày nhận được hồ sơ.
- Bước 5: Chi trả học bổng chính sách và các khoản hỗ trợ
Ủy ban nhân dân cấp xã nơi học sinh, sinh viên có hộ khẩu thường trú chịu trách nhiệm quản lý, tổ chức thực hiện chi trả học bổng chính sách và các khoản hỗ trợ khác trực tiếp bằng tiền mặt cho học sinh, sinh viên đang học tại cơ sở giáo dục nghề nghiệp tư thục hoặc cơ sở giáo dục nghề nghiệp có vốn đầu tư nước ngoài.</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khác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Ủy ban nhân dân cấp xã đối chiếu, thẩm định hồ sơ của học sinh, sinh viên trong vòng 03 ngày làm việc kể từ khi nhận được hồ sơ đầy đủ. Khi hồ sơ hợp lệ, học sinh, sinh viên được cấp học bổng chính sách và các khoản hỗ trợ khác 02 lần trong năm học: lần 01 cấp cho 06 tháng vào tháng 10 hoặc tháng 11 hàng năm; lần 02 cấp cho 06 tháng vào tháng 3 hoặc tháng 4 năm sau (Ủy ban nhân dân cấp xã thông báo công khai về thời gian cấp học bổng chính sách và các khoản hỗ trợ khác). Trường hợp học sinh, sinh viên chưa được nhận học bổng chính sách và các khoản hỗ trợ khác theo thời hạn quy định thì được truy lĩnh trong lần chi trả tiếp theo.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cấp chính sách nội trú theo mẫu tại Mẫu số 2 ban hành kèm theo Thông tư số 08/2023/TT-BLĐTBXH</w:t>
            </w:r>
          </w:p>
        </w:tc>
        <w:tc>
          <w:p/>
          <w:p>
            <w:pPr>
              <w:spacing w:after="0" w:before="0" w:lineRule="auto" w:line="276"/>
              <w:jc w:val="left"/>
            </w:pPr>
            <w:r>
              <w:rPr>
                <w:rFonts w:ascii="Times New Roman" w:hAnsi="Times New Roman" w:cs="Times New Roman" w:eastAsia="Times New Roman"/>
                <w:b w:val="false"/>
                <w:sz w:val="26"/>
              </w:rPr>
              <w:t>Mau02.docx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Đối với học sinh - sinh viên người dân tộc thiểu số thuộc hộ nghèo, hộ cận nghèo, ngoài đơn đề nghị cấp chính sách nội trú phải bổ sung giấy chứng nhận hộ nghèo, hộ cận nghèo do Ủy ban nhân dân cấp xã cấp (Bản sao được chứng thực từ bản chính hoặc bản sao có mang bản chính để đối chiếu)</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Đối với học sinh - sinh viên người dân tộc thiểu số là người khuyết tật, ngoài đơn đề nghị cấp chính sách nội trú phải bổ sung Giấy xác nhận khuyết tật do Ủy ban nhân dân cấp xã cấp hoặc Quyết định của Ủy ban nhân dân cấp xã về việc trợ cấp xã hội đối với người khuyết tật sống tại cộng đồng trong trường hợp chưa có giấy xác nhận khuyết tật do Ủy ban nhân dân cấp xã cấp (Bản sao được chứng thực từ bản chính hoặc bản sao có mang bản chính để đối chiếu)</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Đối với học sinh - sinh viên người Kinh thuộc hộ nghèo, hộ cận nghèo có hộ khẩu thường trú tại vùng có điều kiện kinh tế - xã hội đặc biệt khó khăn, vùng dân tộc thiểu số, biên giới, hải đảo ngoài đơn đề nghị cấp chính sách nội trú phải bổ sung Giấy chứng nhận hộ nghèo, hộ cận nghèo do Ủy ban nhân dân cấp xã cấp (Bản sao được chứng thực từ bản chính hoặc bản sao có mang bản chính để đối chiếu).</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Đối với học sinh - sinh viên người Kinh là người khuyết tật có hộ khẩu thường trú tại vùng có điều kiện kinh tế - xã hội đặc biệt khó khăn, vùng dân tộc thiểu số, biên giới, hải đảo ngoài đơn đề nghị cấp chính sách nội trú phải bổ sung Giấy xác nhận khuyết tật do Ủy ban nhân dân cấp xã cấp về việc trợ cấp xã hội đối với người khuyết tật sống tại cộng đồng trong trường hợp chưa có giấy xác nhận khuyết tật do Ủy ban nhân dân cấp xã cấp (Bản sao được chứng thực từ bản chính hoặc bản sao có mang bản chính để đối chiếu).</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Đối với học sinh - sinh viên tốt nghiệp trường phổ thông dân tộc nội trú, ngoài đơn đề nghị cấp chính sách nội trú phải bổ sung bằng tốt nghiệp hoặc giấy chứng nhận tốt nghiệp tạm thời (Bản sao được chứng thực từ bản chính hoặc bản sao có mang bản chính để đối chiếu)</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Đối với học sinh, sinh viên ở lại trường trong dịp Tết Nguyên đán, ngoài một số giấy tờ trên phải bổ sung Đơn đề nghị xác nhận và cấp hỗ trợ theo mẫu tại Mẫu số 4 ban hành kèm theo Thông tư số 08/2023/TT-BLĐTBXH</w:t>
            </w:r>
          </w:p>
        </w:tc>
        <w:tc>
          <w:p/>
          <w:p>
            <w:pPr>
              <w:spacing w:after="0" w:before="0" w:lineRule="auto" w:line="276"/>
              <w:jc w:val="left"/>
            </w:pPr>
            <w:r>
              <w:rPr>
                <w:rFonts w:ascii="Times New Roman" w:hAnsi="Times New Roman" w:cs="Times New Roman" w:eastAsia="Times New Roman"/>
                <w:b w:val="false"/>
                <w:sz w:val="26"/>
              </w:rPr>
              <w:t>Mau04.docx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xã</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Học bổng chính sách và các khoản hỗ trợ khác được cấp cho học sinh, sinh viên tham gia chương trình đào tạo trình độ cao đẳng, trung cấp tại các cơ sở giáo dục nghề nghiệp tư thục hoặc cơ sở giáo dục có vốn đầu tư nước ngoài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18/2018/TT-BLĐTBXH</w:t>
            </w:r>
          </w:p>
        </w:tc>
        <w:tc>
          <w:p/>
          <w:p>
            <w:pPr>
              <w:spacing w:after="0" w:before="0" w:lineRule="auto" w:line="276"/>
              <w:jc w:val="left"/>
            </w:pPr>
            <w:r>
              <w:rPr>
                <w:rFonts w:ascii="Times New Roman" w:hAnsi="Times New Roman" w:cs="Times New Roman" w:eastAsia="Times New Roman"/>
                <w:b w:val="false"/>
                <w:sz w:val="26"/>
              </w:rPr>
              <w:t>Thông tư 18/2018/TT-BLĐTBXH</w:t>
            </w:r>
          </w:p>
        </w:tc>
        <w:tc>
          <w:p/>
          <w:p>
            <w:pPr>
              <w:spacing w:after="0" w:before="0" w:lineRule="auto" w:line="276"/>
              <w:jc w:val="left"/>
            </w:pPr>
            <w:r>
              <w:rPr>
                <w:rFonts w:ascii="Times New Roman" w:hAnsi="Times New Roman" w:cs="Times New Roman" w:eastAsia="Times New Roman"/>
                <w:b w:val="false"/>
                <w:sz w:val="26"/>
              </w:rPr>
              <w:t>30-10-2018</w:t>
            </w:r>
          </w:p>
        </w:tc>
        <w:tc>
          <w:p/>
          <w:p>
            <w:pPr>
              <w:spacing w:after="0" w:before="0" w:lineRule="auto" w:line="276"/>
              <w:jc w:val="left"/>
            </w:pPr>
            <w:r>
              <w:rPr>
                <w:rFonts w:ascii="Times New Roman" w:hAnsi="Times New Roman" w:cs="Times New Roman" w:eastAsia="Times New Roman"/>
                <w:b w:val="false"/>
                <w:sz w:val="26"/>
              </w:rPr>
              <w:t>Bộ Lao động - Thương binh và Xã hội</w:t>
            </w:r>
          </w:p>
        </w:tc>
      </w:tr>
      <w:tr>
        <w:tc>
          <w:p/>
          <w:p>
            <w:pPr>
              <w:spacing w:after="0" w:before="0" w:lineRule="auto" w:line="276"/>
              <w:jc w:val="left"/>
            </w:pPr>
            <w:r>
              <w:rPr>
                <w:rFonts w:ascii="Times New Roman" w:hAnsi="Times New Roman" w:cs="Times New Roman" w:eastAsia="Times New Roman"/>
                <w:b w:val="false"/>
                <w:sz w:val="26"/>
              </w:rPr>
              <w:t>53/2015/QĐ-TTg</w:t>
            </w:r>
          </w:p>
        </w:tc>
        <w:tc>
          <w:p/>
          <w:p>
            <w:pPr>
              <w:spacing w:after="0" w:before="0" w:lineRule="auto" w:line="276"/>
              <w:jc w:val="left"/>
            </w:pPr>
            <w:r>
              <w:rPr>
                <w:rFonts w:ascii="Times New Roman" w:hAnsi="Times New Roman" w:cs="Times New Roman" w:eastAsia="Times New Roman"/>
                <w:b w:val="false"/>
                <w:sz w:val="26"/>
              </w:rPr>
              <w:t>Quyết định 53/2015/QĐ-TTg - Về chính sách nội trú đối với học sinh, sinh viên học cao đẳng, trung cấp</w:t>
            </w:r>
          </w:p>
        </w:tc>
        <w:tc>
          <w:p/>
          <w:p>
            <w:pPr>
              <w:spacing w:after="0" w:before="0" w:lineRule="auto" w:line="276"/>
              <w:jc w:val="left"/>
            </w:pPr>
            <w:r>
              <w:rPr>
                <w:rFonts w:ascii="Times New Roman" w:hAnsi="Times New Roman" w:cs="Times New Roman" w:eastAsia="Times New Roman"/>
                <w:b w:val="false"/>
                <w:sz w:val="26"/>
              </w:rPr>
              <w:t>20-10-2015</w:t>
            </w:r>
          </w:p>
        </w:tc>
        <w:tc>
          <w:p/>
          <w:p>
            <w:pPr>
              <w:spacing w:after="0" w:before="0" w:lineRule="auto" w:line="276"/>
              <w:jc w:val="left"/>
            </w:pPr>
            <w:r>
              <w:rPr>
                <w:rFonts w:ascii="Times New Roman" w:hAnsi="Times New Roman" w:cs="Times New Roman" w:eastAsia="Times New Roman"/>
                <w:b w:val="false"/>
                <w:sz w:val="26"/>
              </w:rPr>
              <w:t>Thủ tướng Chính phủ</w:t>
            </w:r>
          </w:p>
        </w:tc>
      </w:tr>
      <w:tr>
        <w:tc>
          <w:p/>
          <w:p>
            <w:pPr>
              <w:spacing w:after="0" w:before="0" w:lineRule="auto" w:line="276"/>
              <w:jc w:val="left"/>
            </w:pPr>
            <w:r>
              <w:rPr>
                <w:rFonts w:ascii="Times New Roman" w:hAnsi="Times New Roman" w:cs="Times New Roman" w:eastAsia="Times New Roman"/>
                <w:b w:val="false"/>
                <w:sz w:val="26"/>
              </w:rPr>
              <w:t>12/2016/TTLT-BLĐTBXH-BGDĐT-BTC</w:t>
            </w:r>
          </w:p>
        </w:tc>
        <w:tc>
          <w:p/>
          <w:p>
            <w:pPr>
              <w:spacing w:after="0" w:before="0" w:lineRule="auto" w:line="276"/>
              <w:jc w:val="left"/>
            </w:pPr>
            <w:r>
              <w:rPr>
                <w:rFonts w:ascii="Times New Roman" w:hAnsi="Times New Roman" w:cs="Times New Roman" w:eastAsia="Times New Roman"/>
                <w:b w:val="false"/>
                <w:sz w:val="26"/>
              </w:rPr>
              <w:t>Thông tư liên tịch số 12/2016/TTLT-BLĐTBXH-BGDĐT-BTC ngày 16/6/2016 của Bộ Lao động - Thương binh và Xã hội, Bộ Giáo dục và Đào tạo, Bộ Tài chính hướng dẫn thực hiện chính sách nội trú quy định tại Quyết định số 53/2015/QĐ-TTg ngày 20/10/2015 của Thủ tướng Chính phủ về chính sách nội trú đối với học sinh, sinh viên học cao đẳng, trung cấp.</w:t>
            </w:r>
          </w:p>
        </w:tc>
        <w:tc>
          <w:p/>
          <w:p>
            <w:pPr>
              <w:spacing w:after="0" w:before="0" w:lineRule="auto" w:line="276"/>
              <w:jc w:val="left"/>
            </w:pPr>
            <w:r>
              <w:rPr>
                <w:rFonts w:ascii="Times New Roman" w:hAnsi="Times New Roman" w:cs="Times New Roman" w:eastAsia="Times New Roman"/>
                <w:b w:val="false"/>
                <w:sz w:val="26"/>
              </w:rPr>
              <w:t>16-06-2016</w:t>
            </w:r>
          </w:p>
        </w:tc>
        <w:tc>
          <w:p/>
          <w:p>
            <w:pPr>
              <w:spacing w:after="0" w:before="0" w:lineRule="auto" w:line="276"/>
              <w:jc w:val="left"/>
            </w:pPr>
            <w:r>
              <w:rPr>
                <w:rFonts w:ascii="Times New Roman" w:hAnsi="Times New Roman" w:cs="Times New Roman" w:eastAsia="Times New Roman"/>
                <w:b w:val="false"/>
                <w:sz w:val="26"/>
              </w:rPr>
              <w:t>Bộ Lao động - Thương binh và Xã hội</w:t>
            </w:r>
          </w:p>
        </w:tc>
      </w:tr>
      <w:tr>
        <w:tc>
          <w:p/>
          <w:p>
            <w:pPr>
              <w:spacing w:after="0" w:before="0" w:lineRule="auto" w:line="276"/>
              <w:jc w:val="left"/>
            </w:pPr>
            <w:r>
              <w:rPr>
                <w:rFonts w:ascii="Times New Roman" w:hAnsi="Times New Roman" w:cs="Times New Roman" w:eastAsia="Times New Roman"/>
                <w:b w:val="false"/>
                <w:sz w:val="26"/>
              </w:rPr>
              <w:t>08/2023/TT-BLĐTBXH</w:t>
            </w:r>
          </w:p>
        </w:tc>
        <w:tc>
          <w:p/>
          <w:p>
            <w:pPr>
              <w:spacing w:after="0" w:before="0" w:lineRule="auto" w:line="276"/>
              <w:jc w:val="left"/>
            </w:pPr>
            <w:r>
              <w:rPr>
                <w:rFonts w:ascii="Times New Roman" w:hAnsi="Times New Roman" w:cs="Times New Roman" w:eastAsia="Times New Roman"/>
                <w:b w:val="false"/>
                <w:sz w:val="26"/>
              </w:rPr>
              <w:t>Sửa đổi, bổ sung, bãi bỏ một số điều của các Thông tư, Thông tư liên tịch có quy định liên quan đến việc nộp, xuất trình sổ hộ khẩu giấy, sổ tạm trú giấy hoặc giấy tờ có yêu cầu xác nhận nơi cư trú khi thực hiện thủ tục hành chính thuộc lĩnh vực quản lý nhà nước của Bộ Lao động - Thương binh và Xã hội.</w:t>
            </w:r>
          </w:p>
        </w:tc>
        <w:tc>
          <w:p/>
          <w:p>
            <w:pPr>
              <w:spacing w:after="0" w:before="0" w:lineRule="auto" w:line="276"/>
              <w:jc w:val="left"/>
            </w:pPr>
            <w:r>
              <w:rPr>
                <w:rFonts w:ascii="Times New Roman" w:hAnsi="Times New Roman" w:cs="Times New Roman" w:eastAsia="Times New Roman"/>
                <w:b w:val="false"/>
                <w:sz w:val="26"/>
              </w:rPr>
              <w:t>29-08-2023</w:t>
            </w:r>
          </w:p>
        </w:tc>
        <w:tc>
          <w:p/>
          <w:p>
            <w:pPr>
              <w:spacing w:after="0" w:before="0" w:lineRule="auto" w:line="276"/>
              <w:jc w:val="left"/>
            </w:pPr>
            <w:r>
              <w:rPr>
                <w:rFonts w:ascii="Times New Roman" w:hAnsi="Times New Roman" w:cs="Times New Roman" w:eastAsia="Times New Roman"/>
                <w:b w:val="false"/>
                <w:sz w:val="26"/>
              </w:rPr>
              <w:t>Bộ Lao động - Thương binh và Xã hội</w:t>
            </w:r>
          </w:p>
        </w:tc>
      </w:tr>
      <w:tr>
        <w:tc>
          <w:p/>
          <w:p>
            <w:pPr>
              <w:spacing w:after="0" w:before="0" w:lineRule="auto" w:line="276"/>
              <w:jc w:val="left"/>
            </w:pPr>
            <w:r>
              <w:rPr>
                <w:rFonts w:ascii="Times New Roman" w:hAnsi="Times New Roman" w:cs="Times New Roman" w:eastAsia="Times New Roman"/>
                <w:b w:val="false"/>
                <w:sz w:val="26"/>
              </w:rPr>
              <w:t>37/2025/NĐ-CP</w:t>
            </w:r>
          </w:p>
        </w:tc>
        <w:tc>
          <w:p/>
          <w:p>
            <w:pPr>
              <w:spacing w:after="0" w:before="0" w:lineRule="auto" w:line="276"/>
              <w:jc w:val="left"/>
            </w:pPr>
            <w:r>
              <w:rPr>
                <w:rFonts w:ascii="Times New Roman" w:hAnsi="Times New Roman" w:cs="Times New Roman" w:eastAsia="Times New Roman"/>
                <w:b w:val="false"/>
                <w:sz w:val="26"/>
              </w:rPr>
              <w:t>Nghị định quy định chức năng, nhiệm vụ, quyền hạn và cơ cấu tổ chức của Bộ Giáo dục và Đào tạo</w:t>
            </w:r>
          </w:p>
        </w:tc>
        <w:tc>
          <w:p/>
          <w:p>
            <w:pPr>
              <w:spacing w:after="0" w:before="0" w:lineRule="auto" w:line="276"/>
              <w:jc w:val="left"/>
            </w:pPr>
            <w:r>
              <w:rPr>
                <w:rFonts w:ascii="Times New Roman" w:hAnsi="Times New Roman" w:cs="Times New Roman" w:eastAsia="Times New Roman"/>
                <w:b w:val="false"/>
                <w:sz w:val="26"/>
              </w:rPr>
              <w:t>26-02-2025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Học sinh, sinh viên tham gia chương trình đào tạo trình độ cao đẳng, trình độ trung cấp hệ chính quy tại cơ sở giáo dục nghề nghiệp tư thục và cơ sở giáo dục nghề nghiệp có vốn đầu tư nước ngoài thuộc một trong những đối tượng sau:
- Học sinh, sinh viên người dân tộc thiểu số thuộc hộ nghèo, hộ cận nghèo, người khuyết tật.
- Học sinh, sinh viên tốt nghiệp trường phổ thông dân tộc nội trú.
- Học sinh, sinh viên người dân tộc Kinh thuộc hộ nghèo, thuộc hộ cận nghèo hoặc là người khuyết tật có hộ khẩu thường trú tại vùng có điều kiện kinh tế - xã hội đặc biệt khó khăn, vùng dân tộc thiểu số, biên giới, hải đảo.</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https://thutuc.dichvucong.gov.vn/p/home/dvc-tthc-thu-tuc-hanh-chinh-chi-tiet.html?ma_thu_tuc=6957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2025-11-27T09:07:18Z</dcterms:created>
  <dc:creator>Apache POI</dc:creator>
</cp:coreProperties>
</file>