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2.001964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3277/QĐ-BGDĐT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thể tổ chức kiểm định chất lượng giáo dục (theo đề nghị của tổ chức, cá nhân thành lập tổ chức kiểm định chất lượng giáo dục)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Kiểm định chất lượng giáo dục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cá nhân gửi 01 bộ hồ sơ quy định tại điểm a khoản 3 Điều 111 Nghị định số 125/2024/NĐ-CP qua cổng dịch vụ công trực tuyến hoặc bưu chính hoặc trực tiếp đến Bộ Giáo dục và Đào tạo.</w:t>
      </w:r>
    </w:p>
    <w:p>
      <w:pPr>
        <w:spacing w:after="0" w:before="0" w:lineRule="auto" w:line="276"/>
        <w:jc w:val="both"/>
      </w:pPr>
      <w:r>
        <w:rPr>
          <w:rFonts w:ascii="Times New Roman" w:hAnsi="Times New Roman" w:cs="Times New Roman" w:eastAsia="Times New Roman"/>
          <w:b w:val="false"/>
          <w:sz w:val="26"/>
        </w:rPr>
        <w:t>b) Trong thời hạn 30 ngày, kể từ ngày nhận được hồ sơ đề nghị giải thể của tổ chức kiểm định chất lượng giáo dục, Bộ trưởng Bộ Giáo dục và Đào tạo tổ chức xác minh, đánh giá và quyết định việc giải thể tổ chức kiểm định chất lượng giáo dục.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được hồ sơ đề nghị giải thể của tổ chức kiểm định chất lượng giáo dục</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được hồ sơ đề nghị giải thể của tổ chức kiểm định chất lượng giáo dục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được hồ sơ đề nghị giải thể của tổ chức kiểm định chất lượng giáo dục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giải thể tổ chức kiểm định chất lượng giáo dục (theo Mẫu số 05 Phụ lục IV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05_Phu luc IV.docx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Phương án xử lý về tổ chức bộ máy, nhân sự, tài chính, tài sản, đất đai và các vấn đề khác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trưởng Bộ Giáo dục và Đào tạo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giải thể tổ chức kiểm định chất lượng giáo dục của Bộ trưởng Bộ Giáo dục và Đào tạo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https://thutuc.dichvucong.gov.vn/p/home/dvc-tthc-thu-tuc-hanh-chinh-chi-tiet.html?ma_thu_tuc=6988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2025-11-27T09:07:34Z</dcterms:created>
  <dc:creator>Apache POI</dc:creator>
</cp:coreProperties>
</file>