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2.002284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chính sách nội trú cho học sinh, sinh viên tham gia chương trình đào tạo trình độ cao đẳng, trung cấp tại các cơ sở giáo dục nghề nghiệp công lập trực thuộc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20 ngày làm việc kể từ ngày khai giảng, cơ sở giáo dục nghề nghiệp thông báo cho học sinh, sinh viên tham gia chương trình đào tạo trình độ trung cấp, cao đẳng tại cơ sở giáo dục nghề nghiệp về chính sách nội trú.
- Bước 2: Học sinh, sinh viên thuộc đối tượng quy định tại Quyết định số 53/2015/QĐ-TTg nộp hồ sơ tới cơ sở giáo dục nghề nghiệp nơi học sinh, sinh viên đang theo học.
- Bước 3: Thẩm định hồ sơ cấp chính sách nội trú
Thủ trưởng cơ sở giáo dục nghề nghiệp tổ chức đối chiếu, thẩm định và chịu trách nhiệm về tính chính xác của hồ sơ; tổng hợp, lập danh sách đối tượng được hưởng chính sách. Trường hợp hồ sơ không hợp lệ, cơ sở giáo dục nghề nghiệp có trách nhiệm thông báo cho người học được biết trong thời hạn 03 ngày làm việc kể từ ngày nhận được hồ sơ.
- Bước 4: Chi trả học bổng chính sách và các khoản hỗ trợ
Cơ sở giáo dục nghề nghiệp nơi học sinh, sinh viên đang theo học chịu trách nhiệm quản lý, tổ chức thực hiện chi trả học bổng chính sách và các khoản hỗ trợ khác trực tiếp bằng tiền mặt cho học sinh, sinh viên đang học tại cơ sở giáo dục nghề nghiệp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khác </w:t>
            </w:r>
          </w:p>
        </w:tc>
        <w:tc>
          <w:p/>
          <w:p>
            <w:pPr>
              <w:spacing w:after="0" w:before="0" w:lineRule="auto" w:line="276"/>
              <w:jc w:val="left"/>
            </w:pPr>
            <w:r>
              <w:rPr>
                <w:rFonts w:ascii="Times New Roman" w:hAnsi="Times New Roman" w:cs="Times New Roman" w:eastAsia="Times New Roman"/>
                <w:b w:val="false"/>
                <w:sz w:val="26"/>
              </w:rPr>
              <w:t>Phí : không Đồng</w:t>
            </w:r>
          </w:p>
        </w:tc>
        <w:tc>
          <w:p/>
          <w:p>
            <w:pPr>
              <w:spacing w:after="0" w:before="0" w:lineRule="auto" w:line="276"/>
              <w:jc w:val="left"/>
            </w:pPr>
            <w:r>
              <w:rPr>
                <w:rFonts w:ascii="Times New Roman" w:hAnsi="Times New Roman" w:cs="Times New Roman" w:eastAsia="Times New Roman"/>
                <w:b w:val="false"/>
                <w:sz w:val="26"/>
              </w:rPr>
              <w:t>Cơ sở giáo dục nghề nghiệp công lập đối chiếu, thẩm định hồ sơ của học sinh, sinh viên trong vòng 03 ngày làm việc kể từ khi nhận được hồ sơ đầy đủ. Khi hồ sơ hợp lệ, học sinh, sinh viên được cấp học bổng chính sách và các khoản hỗ trợ khác 02 lần trong năm học: lần 01 cấp cho 06 tháng vào tháng 10 hoặc tháng 11 hàng năm; lần 02 cấp cho 06 tháng vào tháng 3 hoặc tháng 4 năm sau (Cơ sở giáo dục nghề nghiệp công lập thông báo công khai về thời gian cấp học bổng chính sách và các khoản hỗ trợ khác). Trường hợp học sinh, sinh viên chưa được nhận học bổng chính sách và các khoản hỗ trợ khác theo thời hạn quy định thì được truy lĩnh trong lần chi trả tiếp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chính sách nội trú theo mẫu tại Mẫu số 1 ban hành kèm theo Thông tư  08/2023/TT-BLĐTBXH.</w:t>
            </w:r>
          </w:p>
        </w:tc>
        <w:tc>
          <w:p/>
          <w:p>
            <w:pPr>
              <w:spacing w:after="0" w:before="0" w:lineRule="auto" w:line="276"/>
              <w:jc w:val="left"/>
            </w:pPr>
            <w:r>
              <w:rPr>
                <w:rFonts w:ascii="Times New Roman" w:hAnsi="Times New Roman" w:cs="Times New Roman" w:eastAsia="Times New Roman"/>
                <w:b w:val="false"/>
                <w:sz w:val="26"/>
              </w:rPr>
              <w:t>Mau01.docx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học sinh/sinh viên người dân tộc thiểu số thuộc hộ nghèo, hộ cận nghèo,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sinh/sinh viên người dân tộc thiểu số là người khuyết tật,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sinh/sinh viên người Kinh thuộc hộ nghèo, hộ cận nghèo có hộ khẩu thường trú tại vùng có điều kiện kinh tế - xã hội đặc biệt khó khăn, vùng dân tộc thiểu số, biên giới, hải đảo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sinh/sinh viên người Kinh là người khuyết tật có hộ khẩu thường trú tại vùng có điều kiện kinh tế - xã hội đặc biệt khó khăn, vùng dân tộc thiểu số, biên giới, hải đảo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sinh/sinh viên tốt nghiệp trường phổ thông dân tộc nội trú, ngoài đơn đề nghị cấp chính sách nội trú phải bổ sung bằng tốt nghiệp hoặc giấy chứng nhận tốt nghiệp tạm thời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ở lại trường trong dịp Tết Nguyên đán, ngoài một số giấy tờ trên phải bổ sung Đơn đề nghị xác nhận và cấp hỗ trợ theo mẫu tại Mẫu số 3 ban hành kèm theo Thông tư 08/2023/TT-BLĐTBXH.</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bổng chính sách và các khoản hỗ trợ khác được cấp cho học sinh, sinh viên tham gia chương trình đào tạo trình độ cao đẳng, trung cấp tại các cơ sở giáo dục nghề nghiệp công lập trực thuộc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18/2018/TT-BLĐTBXH</w:t>
            </w:r>
          </w:p>
        </w:tc>
        <w:tc>
          <w:p/>
          <w:p>
            <w:pPr>
              <w:spacing w:after="0" w:before="0" w:lineRule="auto" w:line="276"/>
              <w:jc w:val="left"/>
            </w:pPr>
            <w:r>
              <w:rPr>
                <w:rFonts w:ascii="Times New Roman" w:hAnsi="Times New Roman" w:cs="Times New Roman" w:eastAsia="Times New Roman"/>
                <w:b w:val="false"/>
                <w:sz w:val="26"/>
              </w:rPr>
              <w:t>Thông tư 18/2018/TT-BLĐTBXH - Thông tư sửa đổi, bổ sung một số điều của các Thông tư liên quan đến thủ tục hành chính thuộc phạm vi chức năng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30-10-2018</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53/2015/QĐ-TTg</w:t>
            </w:r>
          </w:p>
        </w:tc>
        <w:tc>
          <w:p/>
          <w:p>
            <w:pPr>
              <w:spacing w:after="0" w:before="0" w:lineRule="auto" w:line="276"/>
              <w:jc w:val="left"/>
            </w:pPr>
            <w:r>
              <w:rPr>
                <w:rFonts w:ascii="Times New Roman" w:hAnsi="Times New Roman" w:cs="Times New Roman" w:eastAsia="Times New Roman"/>
                <w:b w:val="false"/>
                <w:sz w:val="26"/>
              </w:rPr>
              <w:t>Quyết định 53/2015/QĐ-TTg -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20-10-2015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12/2016/TTLT-BLĐTBXH-BGDĐT-BTC</w:t>
            </w:r>
          </w:p>
        </w:tc>
        <w:tc>
          <w:p/>
          <w:p>
            <w:pPr>
              <w:spacing w:after="0" w:before="0" w:lineRule="auto" w:line="276"/>
              <w:jc w:val="left"/>
            </w:pPr>
            <w:r>
              <w:rPr>
                <w:rFonts w:ascii="Times New Roman" w:hAnsi="Times New Roman" w:cs="Times New Roman" w:eastAsia="Times New Roman"/>
                <w:b w:val="false"/>
                <w:sz w:val="26"/>
              </w:rPr>
              <w:t>Thông tư liên tịch số 12/2016/TTLT-BLĐTBXH-BGDĐT-BTC ngày 16/6/2016 của Bộ Lao động - Thương binh và Xã hội, Bộ Giáo dục và Đào tạo, Bộ Tài chính hướng dẫn thực hiện chính sách nội trú quy định tại Quyết định số 53/2015/QĐ-TTg ngày 20/10/2015 của Thủ tướng Chính phủ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16-06-2016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11/2025/TT-BGDĐT</w:t>
            </w:r>
          </w:p>
        </w:tc>
        <w:tc>
          <w:p/>
          <w:p>
            <w:pPr>
              <w:spacing w:after="0" w:before="0" w:lineRule="auto" w:line="276"/>
              <w:jc w:val="left"/>
            </w:pPr>
            <w:r>
              <w:rPr>
                <w:rFonts w:ascii="Times New Roman" w:hAnsi="Times New Roman" w:cs="Times New Roman" w:eastAsia="Times New Roman"/>
                <w:b w:val="false"/>
                <w:sz w:val="26"/>
              </w:rPr>
              <w:t>Thông tư số 11/2025/TT-BGDĐT ngày 12/6/2025 của Bộ trưởng Bộ GDĐT</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sinh, sinh viên tham gia chương trình đào tạo trình độ cao đẳng, trình độ trung cấp hệ chính quy tại các cơ sở giáo dục nghề nghiệp công lập thuộc một trong những đối tượng sau:
- Học sinh, sinh viên người dân tộc thiểu số thuộc hộ nghèo, hộ cận nghèo, người khuyết tật.
- Học sinh, sinh viên tốt nghiệp trường phổ thông dân tộc nội trú.
- Học sinh, sinh viên người dân tộc Kinh thuộc hộ nghèo, thuộc hộ cận nghèo hoặc là người khuyết tật có hộ khẩu thường trú tại vùng có điều kiện kinh tế - xã hội đặc biệt khó khăn, vùng dân tộc thiểu số, biên giới,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https://thutuc.dichvucong.gov.vn/p/home/dvc-tthc-thu-tuc-hanh-chinh-chi-tiet.html?ma_thu_tuc=221736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2025-11-27T09:08:28Z</dcterms:created>
  <dc:creator>Apache POI</dc:creator>
</cp:coreProperties>
</file>