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2.002480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941/QĐ-BGDĐT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Tiếp nhận học sinh trung học phổ thông người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trung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Đối với học sinh được quy định tại khoản 1 Điều 12 của Quyết định 51/2002/QĐ-BGDĐT thì thực hiện theo Hiệp định đã được ký kết.
b) Đối với học sinh được quy định tại khoản 2 và 3 Điều 12 của Quyết định 51/2002/QĐ-BGDĐT thì Sở Giáo dục và Đào tạo tiếp nhận, kiểm tra hồ sơ và giới thiệu về trường.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xin học do cha hoặc mẹ hoặc người giám hộ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tóm tắt lý lịch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và bản dịch sang tiếng Việt các giấy chứng nhận cần thiết theo quy định tại Điều 13 của Quyết định 51/2002/QĐ-BGDĐT (có công chứng hoặc xác nhận của cơ quan có thẩm quyền của nước gửi đào tạo).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Học bạ hoặc giấy xác nhận của nhà trường về kết quả học tập các lớp học trước đó (bản dịch sang tiếng Việt có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sức khỏe (do cơ quan y tế có thẩm quyền của nước gửi đào tạo cấp trước khi đến Việt Nam không quá 6 tháng).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Ảnh cỡ 4 x 6 cm (chụp không quá 6 tháng tính đến ngày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Học sinh được tiếp nhận, xếp vào lớp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51/2002/QĐ-BGDĐT</w:t>
            </w:r>
          </w:p>
        </w:tc>
        <w:tc>
          <w:p/>
          <w:p>
            <w:pPr>
              <w:spacing w:after="0" w:before="0" w:lineRule="auto" w:line="276"/>
              <w:jc w:val="left"/>
            </w:pPr>
            <w:r>
              <w:rPr>
                <w:rFonts w:ascii="Times New Roman" w:hAnsi="Times New Roman" w:cs="Times New Roman" w:eastAsia="Times New Roman"/>
                <w:b w:val="false"/>
                <w:sz w:val="26"/>
              </w:rPr>
              <w:t>Quyết định 51/2002/QĐ-BGDĐT</w:t>
            </w:r>
          </w:p>
        </w:tc>
        <w:tc>
          <w:p/>
          <w:p>
            <w:pPr>
              <w:spacing w:after="0" w:before="0" w:lineRule="auto" w:line="276"/>
              <w:jc w:val="left"/>
            </w:pPr>
            <w:r>
              <w:rPr>
                <w:rFonts w:ascii="Times New Roman" w:hAnsi="Times New Roman" w:cs="Times New Roman" w:eastAsia="Times New Roman"/>
                <w:b w:val="false"/>
                <w:sz w:val="26"/>
              </w:rPr>
              <w:t>25-12-2002</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50/2021/TT-BGDĐT</w:t>
            </w:r>
          </w:p>
        </w:tc>
        <w:tc>
          <w:p/>
          <w:p>
            <w:pPr>
              <w:spacing w:after="0" w:before="0" w:lineRule="auto" w:line="276"/>
              <w:jc w:val="left"/>
            </w:pPr>
            <w:r>
              <w:rPr>
                <w:rFonts w:ascii="Times New Roman" w:hAnsi="Times New Roman" w:cs="Times New Roman" w:eastAsia="Times New Roman"/>
                <w:b w:val="false"/>
                <w:sz w:val="26"/>
              </w:rPr>
              <w:t>Thông tư 50/2021/TT-BGDĐT</w:t>
            </w:r>
          </w:p>
        </w:tc>
        <w:tc>
          <w:p/>
          <w:p>
            <w:pPr>
              <w:spacing w:after="0" w:before="0" w:lineRule="auto" w:line="276"/>
              <w:jc w:val="left"/>
            </w:pPr>
            <w:r>
              <w:rPr>
                <w:rFonts w:ascii="Times New Roman" w:hAnsi="Times New Roman" w:cs="Times New Roman" w:eastAsia="Times New Roman"/>
                <w:b w:val="false"/>
                <w:sz w:val="26"/>
              </w:rPr>
              <w:t>31-12-2021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văn bằng	
Học sinh người nước ngoài có nguyện vọng vào học tại các trường trung học cơ sở hoặc trung học phổ thông phải có giấy chứng nhận tốt nghiệp tương đương bằng tốt nghiệp của Việt Nam được quy định tại Luật Giáo dục Việt Nam đôi với từng bậc học, cấp học.
* Điều kiện sức khỏe
	a) Học sinh phải được kiểm tra sức khỏe khi nhập học.
	b) Trường hợp mắc các bệnh xã hội, bệnh truyền nhiễm nguy hiểm theo quy định của Bộ Y tế Việt Nam thì được trả ngay về nước.
c) Khi mắc các bệnh thông thường phải điều trị trong vòng 03 tháng, nếu không đủ sức khỏe cũng được trả về nước.
* Điều kiện về tuổi
Học sinh người nước ngoài trong năm xin học tại Việt Nam được gia hạn thêm 03 tuổi so với tuổi quy định của từng cấp học.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https://thutuc.dichvucong.gov.vn/p/home/dvc-tthc-thu-tuc-hanh-chinh-chi-tiet.html?ma_thu_tuc=297339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2025-11-27T09:09:27Z</dcterms:created>
  <dc:creator>Apache POI</dc:creator>
</cp:coreProperties>
</file>