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2.002483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1755/QĐ-BGDĐT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Tiếp nhận học sinh trung học cơ sở người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Theo khoản 2 Điều 5 Quyết định số 51/2002/QĐ-BGDĐT :
- Chuyển trường trong cùng tỉnh, thành phố: Hiệu trưởng nhà trường nơi đến tiếp nhận hồ sơ và xem xét, giải quyết theo quy định của Giám đốc Sở Giáo dục và Đào tạo.
- Chuyển trường đến từ tỉnh, thành phố khác: UBND cấp xã tạo nơi đến tiếp nhận và giới thiệu về trường theo nơi cư trú, kèm theo hồ sơ đã được kiểm tra.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học do cha hoặc mẹ hoặc người giám hộ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tóm tắt lý lịch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và bản dịch sang tiếng Việt các giấy chứng nhận cần thiết theo quy định tại Điều 13 của Quyết định 51/2002/QĐ-BGDĐT (có công chứng hoặc xác nhận của cơ quan có thẩm quyền của nước gửi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Học bạ hoặc giấy xác nhận của nhà trường về kết quả học tập các lớp học trước đó (bản dịch sang tiếng Việt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sức khỏe (do cơ quan y tế có thẩm quyền của nước gửi đào tạo cấp trước khi đến Việt Nam không quá 6 tháng)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Ảnh cỡ 4 x 6 cm (chụp không quá 6 tháng tính đến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sinh được tiếp nhận, xếp vào lớp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51/2002/QĐ-BGDĐT</w:t>
            </w:r>
          </w:p>
        </w:tc>
        <w:tc>
          <w:p/>
          <w:p>
            <w:pPr>
              <w:spacing w:after="0" w:before="0" w:lineRule="auto" w:line="276"/>
              <w:jc w:val="left"/>
            </w:pPr>
            <w:r>
              <w:rPr>
                <w:rFonts w:ascii="Times New Roman" w:hAnsi="Times New Roman" w:cs="Times New Roman" w:eastAsia="Times New Roman"/>
                <w:b w:val="false"/>
                <w:sz w:val="26"/>
              </w:rPr>
              <w:t>Quyết định 51/2002/QĐ-BGDĐT</w:t>
            </w:r>
          </w:p>
        </w:tc>
        <w:tc>
          <w:p/>
          <w:p>
            <w:pPr>
              <w:spacing w:after="0" w:before="0" w:lineRule="auto" w:line="276"/>
              <w:jc w:val="left"/>
            </w:pPr>
            <w:r>
              <w:rPr>
                <w:rFonts w:ascii="Times New Roman" w:hAnsi="Times New Roman" w:cs="Times New Roman" w:eastAsia="Times New Roman"/>
                <w:b w:val="false"/>
                <w:sz w:val="26"/>
              </w:rPr>
              <w:t>25-12-2002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50/2021/TT-BGDĐT</w:t>
            </w:r>
          </w:p>
        </w:tc>
        <w:tc>
          <w:p/>
          <w:p>
            <w:pPr>
              <w:spacing w:after="0" w:before="0" w:lineRule="auto" w:line="276"/>
              <w:jc w:val="left"/>
            </w:pPr>
            <w:r>
              <w:rPr>
                <w:rFonts w:ascii="Times New Roman" w:hAnsi="Times New Roman" w:cs="Times New Roman" w:eastAsia="Times New Roman"/>
                <w:b w:val="false"/>
                <w:sz w:val="26"/>
              </w:rPr>
              <w:t>Thông tư 50/2021/TT-BGDĐT</w:t>
            </w:r>
          </w:p>
        </w:tc>
        <w:tc>
          <w:p/>
          <w:p>
            <w:pPr>
              <w:spacing w:after="0" w:before="0" w:lineRule="auto" w:line="276"/>
              <w:jc w:val="left"/>
            </w:pPr>
            <w:r>
              <w:rPr>
                <w:rFonts w:ascii="Times New Roman" w:hAnsi="Times New Roman" w:cs="Times New Roman" w:eastAsia="Times New Roman"/>
                <w:b w:val="false"/>
                <w:sz w:val="26"/>
              </w:rPr>
              <w:t>31-12-2021</w:t>
            </w:r>
          </w:p>
        </w:tc>
        <w:tc>
          <w:p/>
        </w:tc>
      </w:tr>
      <w:tr>
        <w:tc>
          <w:p/>
          <w:p>
            <w:pPr>
              <w:spacing w:after="0" w:before="0" w:lineRule="auto" w:line="276"/>
              <w:jc w:val="left"/>
            </w:pPr>
            <w:r>
              <w:rPr>
                <w:rFonts w:ascii="Times New Roman" w:hAnsi="Times New Roman" w:cs="Times New Roman" w:eastAsia="Times New Roman"/>
                <w:b w:val="false"/>
                <w:sz w:val="26"/>
              </w:rPr>
              <w:t>TT 10/2025/TT-BGDĐT</w:t>
            </w:r>
          </w:p>
        </w:tc>
        <w:tc>
          <w:p/>
          <w:p>
            <w:pPr>
              <w:spacing w:after="0" w:before="0" w:lineRule="auto" w:line="276"/>
              <w:jc w:val="left"/>
            </w:pPr>
            <w:r>
              <w:rPr>
                <w:rFonts w:ascii="Times New Roman" w:hAnsi="Times New Roman" w:cs="Times New Roman" w:eastAsia="Times New Roman"/>
                <w:b w:val="false"/>
                <w:sz w:val="26"/>
              </w:rPr>
              <w:t>Thông tư số 10/2025/TT-BGDĐT ngày 12/6/2025 của Bộ trưởng Bộ Giáo dục và Đào tạo quy định về phân quyền, phân cấp và phân định thẩm quyền thực hiện nhiệm vụ quản lý nhà nước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văn bằng	
Học sinh người nước ngoài có nguyện vọng vào học tại các trường trung học cơ sở hoặc trung học phổ thông phải có giấy chứng nhận tốt nghiệp tương đương bằng tốt nghiệp của Việt Nam được quy định tại Luật Giáo dục Việt Nam đôi với từng bậc học, cấp học.
* Điều kiện sức khỏe
	a) Học sinh phải được kiểm tra sức khỏe khi nhập học.
	b) Trường hợp mắc các bệnh xã hội, bệnh truyền nhiễm nguy hiểm theo quy định của Bộ Y tế Việt Nam thì được trả ngay về nước.
c) Khi mắc các bệnh thông thường phải điều trị trong vòng 03 tháng, nếu không đủ sức khỏe cũng được trả về nước.
* Điều kiện về tuổi
Học sinh người nước ngoài trong năm xin học tại Việt Nam được gia hạn thêm 03 tuổi so với tuổi quy định của từng cấp học.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https://thutuc.dichvucong.gov.vn/p/home/dvc-tthc-thu-tuc-hanh-chinh-chi-tiet.html?ma_thu_tuc=297365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2025-11-27T09:09:41Z</dcterms:created>
  <dc:creator>Apache POI</dc:creator>
</cp:coreProperties>
</file>