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2.002813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của Đề án dạy và học bằng tiếng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Đối với các cơ sở giáo dục phổ thông, cơ sở giáo dục thường xuyên quy định tại khoản 1 Điều 10 và các cơ sở giáo dục quy định tại khoản 4, khoản 5 Điều 10 Nghị định số 222/2025/NĐ-CP:</w:t>
      </w:r>
    </w:p>
    <w:p>
      <w:pPr>
        <w:spacing w:after="0" w:before="0" w:lineRule="auto" w:line="276"/>
        <w:jc w:val="both"/>
      </w:pPr>
      <w:r>
        <w:rPr>
          <w:rFonts w:ascii="Times New Roman" w:hAnsi="Times New Roman" w:cs="Times New Roman" w:eastAsia="Times New Roman"/>
          <w:b w:val="false"/>
          <w:sz w:val="26"/>
        </w:rPr>
        <w:t>Cơ sở giáo dục nộp 01 bộ hồ sơ cho cơ quan có thẩm quyền được quy định tại Điều 10 Nghị định số 222/2025/NĐ-CP qua dịch vụ bưu chính hoặc trực tiếp hoặc qua cổng dịch vụ công trực tuyến</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văn bản đề nghị chấm dứt hoạt động Đề án của cơ sở giáo dục, cơ quan có thẩm quyền xem xét, ban hành Quyết định chấm dứt hoạt động của Đề án theo Mẫu số 06 tại Phụ lục ban hành kèm theo Nghị định số 222/2025/NĐ-CP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làm việc, kể từ ngày nhận được văn bản đề nghị chấm dứt hoạt động Đề án của cơ sở giáo dục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làm việc, kể từ ngày nhận được văn bản đề nghị chấm dứt hoạt động Đề án của cơ sở giáo dục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làm việc, kể từ ngày nhận được văn bản đề nghị chấm dứt hoạt động Đề án của cơ sở giáo dục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chấm dứt hoạt động của Đề án dạy và học bằng tiếng nước ngoài theo Mẫu số 04 tại Phụ lục ban hành kèm theo Nghị định số 222/2025/NĐ-CP, trong đó có các nội dung về cơ sở giáo dục, Quyết định cho phép thực hiện Đề án; lý do chấm dứt Đề án; cam kết bảo đảm quyền lợi của người dạy và người học, sự trung thực và tính chính xác về nội dung văn bản đề nghị chấm dứt; đề xuất, kiến nghị (nếu có)</w:t>
            </w:r>
          </w:p>
        </w:tc>
        <w:tc>
          <w:p/>
          <w:p>
            <w:pPr>
              <w:spacing w:after="0" w:before="0" w:lineRule="auto" w:line="276"/>
              <w:jc w:val="left"/>
            </w:pPr>
            <w:r>
              <w:rPr>
                <w:rFonts w:ascii="Times New Roman" w:hAnsi="Times New Roman" w:cs="Times New Roman" w:eastAsia="Times New Roman"/>
                <w:b w:val="false"/>
                <w:sz w:val="26"/>
              </w:rPr>
              <w:t>MauVBdenghichamdutthuchienDean.docx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hoạt động của Đề án dạy và học bằng tiếng nước ngoài</w:t>
      </w:r>
    </w:p>
    <w:p>
      <w:pPr>
        <w:spacing w:after="0" w:before="0" w:lineRule="auto" w:line="276"/>
        <w:jc w:val="both"/>
      </w:pPr>
      <w:r>
        <w:rPr>
          <w:rFonts w:ascii="Times New Roman" w:hAnsi="Times New Roman" w:cs="Times New Roman" w:eastAsia="Times New Roman"/>
          <w:b w:val="true"/>
          <w:sz w:val="26"/>
        </w:rPr>
        <w:t xml:space="preserve">Căn cứ pháp lý: </w:t>
      </w:r>
      <w:r>
        <w:rPr>
          <w:rFonts w:ascii="Times New Roman" w:hAnsi="Times New Roman" w:cs="Times New Roman" w:eastAsia="Times New Roman"/>
          <w:b w:val="false"/>
          <w:sz w:val="26"/>
        </w:rPr>
        <w:t>Không có thông tin</w:t>
      </w:r>
    </w:p>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chấm dứt Đề án dạy và học bằng tiếng nước ngoài phải bảo đảm quyền lợi của người dạy và người học.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https://thutuc.dichvucong.gov.vn/p/home/dvc-tthc-thu-tuc-hanh-chinh-chi-tiet.html?ma_thu_tuc=416492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2025-11-27T09:13:00Z</dcterms:created>
  <dc:creator>Apache POI</dc:creator>
</cp:coreProperties>
</file>