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3.000300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trường năng khiếu nghệ thuật, thể dục, thể thao (theo đề nghị của tổ chức, cá nhân thành lập trường)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Cơ quan, tổ chức, cá nhân gửi 01 bộ hồ sơ quy định tại điểm b khoản 3 Điều 51 Phụ lục I kèm theo Nghị định 142/2025/NĐ-CP qua cổng dịch vụ công trực tuyến hoặc bưu chính hoặc trực tiếp đến Sở Giáo dục và Đào tạo.</w:t>
      </w:r>
    </w:p>
    <w:p>
      <w:pPr>
        <w:spacing w:after="0" w:before="0" w:lineRule="auto" w:line="276"/>
        <w:jc w:val="both"/>
      </w:pPr>
      <w:r>
        <w:rPr>
          <w:rFonts w:ascii="Times New Roman" w:hAnsi="Times New Roman" w:cs="Times New Roman" w:eastAsia="Times New Roman"/>
          <w:b w:val="false"/>
          <w:sz w:val="26"/>
        </w:rPr>
        <w:t>Trong thời hạn 20 ngày, kể từ ngày nhận được hồ sơ đề nghị giải thể trường năng khiếu nghệ thuật, thể dục, thể thao, Sở Giáo dục và Đào tạo trình Chủ tịch Ủy ban nhân dân cấp tỉnh quyết định việc giải thể trường; nếu chưa quyết định giải thể thì thông báo bằng văn bản cho cơ quan, tổ chức, cá nhân đề nghị giải thể và nêu rõ lý do;
Quyết định giải thể trường năng khiếu nghệ thuật, thể dục, thể thao (theo Mẫu số 10 Phụ lục II kèm theo Nghị định 142/2025/NĐ-CP)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được hồ sơ đề nghị giải thể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được hồ sơ đề nghị giải thể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được hồ sơ đề nghị giải thể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giải thể của cơ quan, tổ chức, cá nhân thành lập trường (theo Mẫu số 06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Mauso06PLII.doc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án giải thể trường trung học (theo Mẫu số 07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Mauso07PLII.doc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 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trường năng khiếu nghệ thuật, thể dục, thể thao đặt trên địa bàn tỉnh 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Giải thể, trường năng khiếu, nghệ thuật, thể dục, thể thao</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https://thutuc.dichvucong.gov.vn/p/home/dvc-tthc-thu-tuc-hanh-chinh-chi-tiet.html?ma_thu_tuc=358071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2025-11-27T09:09:59Z</dcterms:created>
  <dc:creator>Apache POI</dc:creator>
</cp:coreProperties>
</file>