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trung tâm học tập cộng đồng (theo đề nghị của tổ chức, cá nhân thành lập trung tâm)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tại điểm b khoản 2 Điều này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nếu hồ sơ không hợp lệ thì Ủy ban nhân dân cấp xã thông báo bằng văn bản những nội dung cần chỉnh sửa, bổ sung cho tổ chức, cá nhân;</w:t>
      </w:r>
    </w:p>
    <w:p>
      <w:pPr>
        <w:spacing w:after="0" w:before="0" w:lineRule="auto" w:line="276"/>
        <w:jc w:val="both"/>
      </w:pPr>
      <w:r>
        <w:rPr>
          <w:rFonts w:ascii="Times New Roman" w:hAnsi="Times New Roman" w:cs="Times New Roman" w:eastAsia="Times New Roman"/>
          <w:b w:val="false"/>
          <w:sz w:val="26"/>
        </w:rPr>
        <w:t>c) Trong thời hạn 10 ngày làm việc, kể từ ngày nhận được hồ sơ hợp lệ, Ủy ban nhân dân cấp xã tổ chức thẩm định hồ sơ và xem xét, quyết định việc giải thể trung tâm học tập cộng đồng nếu đủ điều kiện; nếu chưa quyết định giải thể thì thông báo bằng văn bản cho tổ chức, cá nhân đề nghị giải thể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10 ngày làm việc, kể từ ngày nhận được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tổ chức, cá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10 ngày làm việc, kể từ ngày nhận được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tổ chức, cá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Trong thời hạn 10 ngày làm việc, kể từ ngày nhận được hồ sơ hợp lệ.
- Trường hợp hồ sơ không hợp lệ: Trong thời hạn 05 ngày làm việc, kể từ ngày nhận đủ hồ sơ, nếu hồ sơ không hợp lệ thì Ủy ban nhân dân cấp xã thông báo bằng văn bản những nội dung cần chỉnh sửa, bổ sung cho tổ chức, cá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tổ chức, cá nhân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trung tâm (theo Mẫu số 07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Mus07PL2.doc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trung tâm học tập cộng đồng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Giải thể, trung tâm, học tập cộng đồng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https://thutuc.dichvucong.gov.vn/p/home/dvc-tthc-thu-tuc-hanh-chinh-chi-tiet.html?ma_thu_tuc=358080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2025-11-27T09:10:13Z</dcterms:created>
  <dc:creator>Apache POI</dc:creator>
</cp:coreProperties>
</file>