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3.000415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1120/QĐ-BGDĐT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đủ điều kiện tổ chức đào tạo, bồi dưỡng tiếng dân tộc thiểu số</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sở giáo dục đại học, cao đẳng có ngành đào tạo giáo viên có nhu cầu tổ chức đào tạo, bồi dưỡng tiếng dân tộc thiểu số xây dựng đề án.</w:t>
      </w:r>
    </w:p>
    <w:p>
      <w:pPr>
        <w:spacing w:after="0" w:before="0" w:lineRule="auto" w:line="276"/>
        <w:jc w:val="both"/>
      </w:pPr>
      <w:r>
        <w:rPr>
          <w:rFonts w:ascii="Times New Roman" w:hAnsi="Times New Roman" w:cs="Times New Roman" w:eastAsia="Times New Roman"/>
          <w:b w:val="false"/>
          <w:sz w:val="26"/>
        </w:rPr>
        <w:t>- Cơ sở giáo dục đại học, cao đẳng có ngành đào tạo giáo viên báo cáo Bộ Giáo dục và Đào tạo về đề án tổ chức đào tạo, bồi dưỡng tiếng dân tộc thiểu số.</w:t>
      </w:r>
    </w:p>
    <w:p>
      <w:pPr>
        <w:spacing w:after="0" w:before="0" w:lineRule="auto" w:line="276"/>
        <w:jc w:val="both"/>
      </w:pPr>
      <w:r>
        <w:rPr>
          <w:rFonts w:ascii="Times New Roman" w:hAnsi="Times New Roman" w:cs="Times New Roman" w:eastAsia="Times New Roman"/>
          <w:b w:val="false"/>
          <w:sz w:val="26"/>
        </w:rPr>
        <w:t>- Bộ Giáo dục và Đào tạo kiểm tra, xác minh và thông báo việc đủ điều kiện để các đơn vị triển khai thực hiện đề án.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Đề án tổ chức đào tạo, bồi dưỡng tiếng dân tộc thiểu số bao gồm các nội dung: Sự cần thiết, mục đích, yêu cầu của việc tổ chức đào tạo, bồi dưỡng; thuyết minh đầy đủ thông tin, minh chứng đáp ứng yêu cầu tổ chức đào tạo, bồi dưỡng theo Điều 3 của Thông tư 09/2023/TT-BGDĐT; chỉ tiêu tuyển sinh, đối tượng tuyển sinh, phương thức tuyển sinh, hồ sơ tuyển sinh, ưu tiên trong tuyển sinh (nếu có); hình thức tổ chức đào tạo, bồi dưỡng, kiểm tra, đánh giá.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tổ chức đào tạo, bồi dưỡng cấp chứng chỉ tiếng dân tộc thiểu số</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09/2023/TT-BGDĐT</w:t>
            </w:r>
          </w:p>
        </w:tc>
        <w:tc>
          <w:p/>
          <w:p>
            <w:pPr>
              <w:spacing w:after="0" w:before="0" w:lineRule="auto" w:line="276"/>
              <w:jc w:val="left"/>
            </w:pPr>
            <w:r>
              <w:rPr>
                <w:rFonts w:ascii="Times New Roman" w:hAnsi="Times New Roman" w:cs="Times New Roman" w:eastAsia="Times New Roman"/>
                <w:b w:val="false"/>
                <w:sz w:val="26"/>
              </w:rPr>
              <w:t>Thông tư ban hành quy định việc tổ chức đào tạo, bồi dưỡng và cấp chứng chỉ tiếng dân tộc thiểu số</w:t>
            </w:r>
          </w:p>
        </w:tc>
        <w:tc>
          <w:p/>
          <w:p>
            <w:pPr>
              <w:spacing w:after="0" w:before="0" w:lineRule="auto" w:line="276"/>
              <w:jc w:val="left"/>
            </w:pPr>
            <w:r>
              <w:rPr>
                <w:rFonts w:ascii="Times New Roman" w:hAnsi="Times New Roman" w:cs="Times New Roman" w:eastAsia="Times New Roman"/>
                <w:b w:val="false"/>
                <w:sz w:val="26"/>
              </w:rPr>
              <w:t>18-04-2023</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giáo dục đại học, các trường cao đẳng có ngành đào tạo giáo viên phải đáp ứng các điều kiện sau: 
a) Đội ngũ giảng viên có trình độ đại học trở lên thuộc nhóm ngành ngôn ngữ, văn học và văn hóa Việt Nam đồng thời có hiểu biết về ngôn ngữ, văn hóa dân tộc thiểu số phù hợp với chương trình dự kiến tổ chức đào tạo, bồi dưỡng;
b) Chương trình chi tiết và tài liệu đào tạo, bồi dưỡng được xây dựng theo Chương trình khung của Bộ Giáo dục và Đào tạo; 
c) Cơ sở vật chất, thư viện, phòng học, phòng chức năng, phòng thực hành và các thiết bị khác đáp ứng yêu cầu chương trình đào tạo, bồi dưỡng tiếng dân tộc thiểu số;
d) Có đề án tổ chức đào tạo, bồi dưỡng tiếng dân tộc thiểu số.</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https://thutuc.dichvucong.gov.vn/p/home/dvc-tthc-thu-tuc-hanh-chinh-chi-tiet.html?ma_thu_tuc=377546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2025-11-27T09:12:09Z</dcterms:created>
  <dc:creator>Apache POI</dc:creator>
</cp:coreProperties>
</file>