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hải quan đối với khí, nguyên liệu xuất khẩu, nhập khẩu bằng đường ống chuyên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nghiệp gửi hồ sơ đề nghị làm thủ tục hải quan đối với khí, nguyên liệu xuất khẩu, nhập khẩu bằng đường ống chuyên dụng</w:t>
      </w:r>
    </w:p>
    <w:p>
      <w:pPr>
        <w:spacing w:after="0" w:before="0" w:lineRule="auto" w:line="276"/>
        <w:jc w:val="both"/>
      </w:pPr>
      <w:r>
        <w:rPr>
          <w:rFonts w:ascii="Times New Roman" w:hAnsi="Times New Roman" w:cs="Times New Roman" w:eastAsia="Times New Roman"/>
          <w:b w:val="false"/>
          <w:sz w:val="26"/>
        </w:rPr>
        <w:t>Bước 2: Khi nhận được văn bản thông báo về cung cấp khí, nguyên liệu, Bản đồ đường ống ngầm cung cấp khí, nguyên liệu, Biên bản thỏa thuận giữa Thương nhân xuất khẩu và các Thương nhân nhập khẩu, Chi cục Hải quan quản lý có trách nhiệm bố trí cán bộ giám sát và ký xác nhận chỉ số đồng hồ tại thời Điểm xác nhận theo Biên bản. Trường hợp không thể thực hiện được phải thông báo với các Thương nhân và nêu rõ lý do; thống nhất phương án thay đổi thời Điểm xác nhận.</w:t>
      </w:r>
    </w:p>
    <w:p>
      <w:pPr>
        <w:spacing w:after="0" w:before="0" w:lineRule="auto" w:line="276"/>
        <w:jc w:val="both"/>
      </w:pPr>
      <w:r>
        <w:rPr>
          <w:rFonts w:ascii="Times New Roman" w:hAnsi="Times New Roman" w:cs="Times New Roman" w:eastAsia="Times New Roman"/>
          <w:b w:val="false"/>
          <w:sz w:val="26"/>
        </w:rPr>
        <w:t xml:space="preserve"> Bước 3: Doanh nghiệp thực hiện nộp thuế và các khoản phí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Thời hạn tiếp nhận, đăng ký, kiểm tra hồ sơ hải quan: ngay sau khi người khai hải quan nộp, xuất trình hồ sơ hải quan đúng quy định của pháp luật (Khoản 1, Điều 23 Luật Hải quan)  + Thời hạn hoàn thành thành kiểm tra hồ sơ và kiểm tra thực tế hàng hóa, phương tiện vận tải:  ++ Hoàn thành việc kiểm tra hồ sơ chậm nhất là 02 giờ làm việc kể từ thời điểm cơ quan hải quan tiếp nhận đầy đủ hồ sơ hải quan;  ++ Hoàn thành việc kiểm tra thực tế hàng hoá chậm nhất là 08 giờ làm việc kể từ thời điểm người khai hải quan xuất trình đầy đủ hàng hoá cho cơ quan hải quan;  Trường hợp hàng hóa thuộc đối tượng kiểm tra chuyên ngành về chất lượng, y tế, văn hóa, kiểm dịch động vật, thực vật, an toàn thực phẩm theo quy định của pháp luật có liên quan thì thời hạn hoàn thành kiểm tra thực tế hàng hóa được tính từ thời điểm nhận được kết quả kiểm tra chuyên ngành theo quy định.  Trường hợp lô hàng có số lượng lớn, nhiều chủng loại hoặc việc kiểm tra phức tạp thì Thủ trưởng cơ quan hải quan nơi làm thủ tục hải quan quyết định việc gia hạn thời gian kiểm tra thực tế hàng hóa, nhưng thời gian gia hạn tối đa không quá 02 ngày. </w:t>
            </w:r>
          </w:p>
        </w:tc>
        <w:tc>
          <w:p/>
          <w:p>
            <w:pPr>
              <w:spacing w:after="0" w:before="0" w:lineRule="auto" w:line="276"/>
              <w:jc w:val="left"/>
            </w:pPr>
            <w:r>
              <w:rPr>
                <w:rFonts w:ascii="Times New Roman" w:hAnsi="Times New Roman" w:cs="Times New Roman" w:eastAsia="Times New Roman"/>
                <w:b w:val="false"/>
                <w:sz w:val="26"/>
              </w:rPr>
              <w:t>Lệ phí : 20000 Đồng</w:t>
              <w:t xml:space="preserve"> (Theo khoản 1 Điều 3 Thông tư số 172/2010/TT-BTC ngày 02/11/2010 của Bộ Tài chính hướng dẫn mức mức thu, chế độ thu, nộp, quản lý và sử dụng lệ phí trong lĩnh vực hải quan)</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Chứng từ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khai hàng hóa nhập khẩu theo các chỉ tiêu thông tin tại Phụ lục II ban hành kèm theo Thông tư số 38/2015/TT-BTC.  Trường hợp thực hiện trên tờ khai hải quan giấy theo quy định tại Khoản 2 Điều 25 Nghị định số 08/2015/NĐ-CP, người khai hải quan khai và nộp 02 bản chính tờ khai hàng hóa nhập khẩu theo mẫu HQ/2015/NK Phụ lục IV ban hành kèm theo Thông tư số 38/2015/TT-BTC;</w:t>
            </w:r>
          </w:p>
        </w:tc>
        <w:tc>
          <w:p/>
          <w:p>
            <w:pPr>
              <w:spacing w:after="0" w:before="0" w:lineRule="auto" w:line="276"/>
              <w:jc w:val="left"/>
            </w:pPr>
            <w:r>
              <w:rPr>
                <w:rFonts w:ascii="Times New Roman" w:hAnsi="Times New Roman" w:cs="Times New Roman" w:eastAsia="Times New Roman"/>
                <w:b w:val="false"/>
                <w:sz w:val="26"/>
              </w:rPr>
              <w:t>2. To khai hang hoa NK (Thong quan).pdf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Hóa đơn thương mại: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Vận tải đơn hoặc chứng từ vận tải khác có giá trị khác tương đương đối với trường hợp hàng hóa vận chuyển bằng đường biển theo quy định của pháp luật (trừ xăng dầu, khí tái xuất, xuất khẩu cho doanh nghiệp quy định tại Điểm b Khoản 4 Điều 35 Nghị định số 83/2014/NĐ-CP, đối tượng quy định tại Khoản 3, Điều 19, Khoản 2 Điều 35 Nghị định số 19/2016/NĐ-CP):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Giấy đăng ký giám định lượng; Giấy đăng ký kiểm tra nhà nước về chất lượng đối với xăng dầu, hóa chất, khí thuộc Danh Mục hàng hóa nhập khẩu phải kiểm tra nhà nước về chất lượng: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Hợp đồng mua hàng hóa nhập khẩu (đối với hàng hóa kinh doanh tạm nhập tái xuất):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Trường hợp một lô hàng phải khai trên nhiều tờ khai hoặc hàng hóa nhập khẩu thuộc nhiều loại hình, có chung vận tải đơn, Hóa đơn, khai trên nhiều tờ khai theo từng loại hình hàng hóa nhập khẩu tại một Chi cục Hải quan thì người khai hải quan chỉ phải nộp 01 bộ hồ sơ hải quan (trong trường hợp nộp hồ sơ giấy cho cơ quan hải quan); các tờ khai sau ghi rõ “chung chứng từ với tờ khai số... ngày...” vào ô “Phần ghi chú”.  Đối với các trường hợp quy định tại Khoản 2, Khoản 3, Khoản 4 Điều 18 Thông tư số 38/2015/TT-BTC, người khai hải quan chỉ phải nộp, xuất trình, lưu một bộ hồ sơ hải quan của các tờ khai hải quan thuộc cùng một lô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Trường hợp Thương nhân làm thủ tục lần đầu tại Chi cục Hải quan thì nộp thêm các giấy tờ sau (trừ trường hợp cung ứng (tái xuất), xuất khẩu xăng dầu, khí cho đối tượng quy định tại Điểm b Khoản 4, Khoản 5 Điều 35 Nghị định số 83/2014/NĐ-CP, Khoản 3, Điều 19, Khoản 2 Điều 35 Nghị định số 19/2016/NĐ-CP):  g.1) Giấy phép kinh doanh xuất khẩu, nhập khẩu xăng dầu: 01 bản chụp;  g.2) Giấy chứng nhận đủ Điều kiện xuất khẩu, nhập khẩu khí hoặc văn bản có giá trị tương đương: 01 bản chụp;  g.3) Bản hạn mức nhập khẩu xăng dầu tối thiểu do Bộ Công Thương cấp: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Giấy phép nhập khẩu đối với hàng hóa phải có giấy phép nhập khẩu: 01 bản chính;  Trường hợp áp dụng cơ chế một cửa quốc gia, cơ quan quản lý nhà nước chuyên ngành gửi các chứng từ quy định tại Điểm đ, Điểm g, Điểm h Khoản 1 Điều 7 Thông tư số 69/2016/TT-BTC dưới dạng điện từ thông qua Cổng thông tin một cửa quốc gia, người khai hải quan không phải nộp khi làm thủ tục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Hồ sơ hải quan đối với xuất khẩu xăng dầu, hóa chất, khí: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khai hàng hóa xuất khẩu theo các chỉ tiêu thông tin tại Phụ lục II ban hành kèm theo Thông tư số 38/2015/TT-BTC.  Trường hợp thực hiện trên tờ khai hải quan giấy theo quy định tại Khoản 2 Điều 25 Nghị định số 08/2015/NĐ-CP, người khai hải quan khai và nộp 02 bản chính tờ khai hàng hóa xuất khẩu theo mẫu HQ/2015/XK Phụ lục IV ban hành kèm theo Thông tư số 38/2015/TT-BTC;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Giấy phép kinh doanh xuất khẩu, nhập khẩu xăng dầu: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Giấy chứng nhận đủ Điều kiện xuất khẩu, nhập khẩu khí hoặc văn bản có giá trị tương đương: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Chứng thư giám định lượng (đối với trường hợp quy định tại Điểm a Khoản 4 Điều 4 Thông tư này):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Hóa đơn thương mại: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Văn bản nêu rõ nguồn gốc xăng dầu, khí xuất khẩu (nguồn do Thương nhân nhập khẩu hoặc mua của Thương nhân đầu mối nhập khẩu hoặc lấy từ nguồn sản xuất, pha chế xăng dầu, khí):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Văn bản xác nhận của Bộ Công Thương về đăng ký kế hoạch sản xuất, nhập khẩu nguyên liệu và tiêu thụ sản phẩm xăng dầu: 01 bản chụp;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Giấy phép xuất khẩu đối với hàng hóa phải có giấy phép nhập khẩu: 01 bản chính;  Trường hợp áp dụng cơ chế một cửa quốc gia, cơ quan quản lý nhà nước chuyên ngành gửi các chứng từ quy định tại Điểm b, Điểm c, Điểm g, Điểm h Khoản 1 Điều 12 Thông tư số 69/2016/TT-BTC dưới dạng điện tử thông qua Cổng thông tin một cửa quốc gia, người khai hải quan không phải nộp khi làm thủ tục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3. Hồ sơ hải quan đối với tái xuất xăng dầu, hóa chất, khí: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Ngoài các chứng từ phải nộp theo quy định tại các Điểm a, Điểm b, Điểm c, Điểm d, Điểm đ, Điểm h Khoản 1 Điều 12 Thông tư số 69/2016/TT-BTC, Thương nhân nộp bổ sung 01 bản chụp hợp đồng bán hàng, phụ lục hợp đồng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Trường hợp lô hàng tạm nhập được thực hiện trên tờ khai giấy theo mẫu HQ/2015/NK Phụ lục V ban hành kèm theo Thông tư số 38/2015/TT-BTC thì khi làm thủ tục tái xuất, người khai hải quan được thực hiện khai báo trên tờ khai hải quan giấy theo mẫu HQ/2015/NK Phụ lục V ban hành kèm theo Thông tư số 38/2015/TT-BTC;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Khi làm thủ tục tái xuất, thương nhân phải khai báo thông tin về số tờ khai tạm nhập, số thứ tự của dòng hàng trên tờ khai tạm nhập tương ứng với từng dòng hàng tái xuất để Hệ thống theo dõi trừ lùi; Hệ thống tự động thực hiện trừ lùi theo số lượng trên tờ khai tạm nhập tương ứng.  Một tờ khai tạm nhập có thể được sử dụng để làm thủ tục tái xuất nhiều lần; một tờ khai tái xuất hàng hóa chỉ được khai báo theo một tờ khai tạm nhập hàng hóa tương ứng. Chi cục Hải quan nơi đăng ký tờ khai tái xuất kiểm tra thông tin về tờ khai hải quan tạm nhập trên Hệ thống để làm thủ tục tái xuất.  Trường hợp khai hải quan trên tờ khai hải quan giấy thì người khai hải quan phải khai cụ thể số tờ khai tạm nhập nào ô “Chứng từ đi kèm” của tờ khai hàng hóa xuất khẩu theo mẫu HQ/2015/XK Phụ lục IV ban hành kèm Thông tư số 38/2015/TT-BTC.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thông quan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78/2006/QH11</w:t>
            </w:r>
          </w:p>
        </w:tc>
        <w:tc>
          <w:p/>
          <w:p>
            <w:pPr>
              <w:spacing w:after="0" w:before="0" w:lineRule="auto" w:line="276"/>
              <w:jc w:val="left"/>
            </w:pPr>
            <w:r>
              <w:rPr>
                <w:rFonts w:ascii="Times New Roman" w:hAnsi="Times New Roman" w:cs="Times New Roman" w:eastAsia="Times New Roman"/>
                <w:b w:val="false"/>
                <w:sz w:val="26"/>
              </w:rPr>
              <w:t>Luật 78/2006/QH11</w:t>
            </w:r>
          </w:p>
        </w:tc>
        <w:tc>
          <w:p/>
          <w:p>
            <w:pPr>
              <w:spacing w:after="0" w:before="0" w:lineRule="auto" w:line="276"/>
              <w:jc w:val="left"/>
            </w:pPr>
            <w:r>
              <w:rPr>
                <w:rFonts w:ascii="Times New Roman" w:hAnsi="Times New Roman" w:cs="Times New Roman" w:eastAsia="Times New Roman"/>
                <w:b w:val="false"/>
                <w:sz w:val="26"/>
              </w:rPr>
              <w:t>29-11-2006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21/2012/QH13</w:t>
            </w:r>
          </w:p>
        </w:tc>
        <w:tc>
          <w:p/>
          <w:p>
            <w:pPr>
              <w:spacing w:after="0" w:before="0" w:lineRule="auto" w:line="276"/>
              <w:jc w:val="left"/>
            </w:pPr>
            <w:r>
              <w:rPr>
                <w:rFonts w:ascii="Times New Roman" w:hAnsi="Times New Roman" w:cs="Times New Roman" w:eastAsia="Times New Roman"/>
                <w:b w:val="false"/>
                <w:sz w:val="26"/>
              </w:rPr>
              <w:t>Luật 21/2012/QH13</w:t>
            </w:r>
          </w:p>
        </w:tc>
        <w:tc>
          <w:p/>
          <w:p>
            <w:pPr>
              <w:spacing w:after="0" w:before="0" w:lineRule="auto" w:line="276"/>
              <w:jc w:val="left"/>
            </w:pPr>
            <w:r>
              <w:rPr>
                <w:rFonts w:ascii="Times New Roman" w:hAnsi="Times New Roman" w:cs="Times New Roman" w:eastAsia="Times New Roman"/>
                <w:b w:val="false"/>
                <w:sz w:val="26"/>
              </w:rPr>
              <w:t>20-11-2012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92/2015/TT-BTC</w:t>
            </w:r>
          </w:p>
        </w:tc>
        <w:tc>
          <w:p/>
          <w:p>
            <w:pPr>
              <w:spacing w:after="0" w:before="0" w:lineRule="auto" w:line="276"/>
              <w:jc w:val="left"/>
            </w:pPr>
            <w:r>
              <w:rPr>
                <w:rFonts w:ascii="Times New Roman" w:hAnsi="Times New Roman" w:cs="Times New Roman" w:eastAsia="Times New Roman"/>
                <w:b w:val="false"/>
                <w:sz w:val="26"/>
              </w:rPr>
              <w:t>Thông tư 92/2015/TT-BTC</w:t>
            </w:r>
          </w:p>
        </w:tc>
        <w:tc>
          <w:p/>
          <w:p>
            <w:pPr>
              <w:spacing w:after="0" w:before="0" w:lineRule="auto" w:line="276"/>
              <w:jc w:val="left"/>
            </w:pPr>
            <w:r>
              <w:rPr>
                <w:rFonts w:ascii="Times New Roman" w:hAnsi="Times New Roman" w:cs="Times New Roman" w:eastAsia="Times New Roman"/>
                <w:b w:val="false"/>
                <w:sz w:val="26"/>
              </w:rPr>
              <w:t>15-06-2015</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chứng nhận đủ Điều kiện xuất khẩu, nhập khẩu khí hoặc văn bản có giá trị tương đương.
+ Thương nhân xuất khẩu phải lắp đặt đồng hồ đo lưu lượng khí, nguyên liệu để xác định tổng lượng khí, nguyên liệu xuất khẩu và Thương nhân nhập khẩu phải lắp đặt đồng hồ đo lưu lượng khí, nguyên liệu để xác định tổng lượng khí, nguyên liệu nhập khẩu, cụ thể:
++ Đồng hồ xác định lượng khí, nguyên liệu xuất khẩu, nhập khẩu được lắp đặt tại vị trí dễ kiểm tra, quan sát và đảm bảo nguyên tắc sau:
++ Đối với Thương nhân xuất khẩu khí, nguyên liệu: Đồng hồ đo lượng khí, nguyên liệu xuất khẩu lắp đặt tại Điểm đầu của đường ống dẫn cung cấp khí, nguyên liệu (Điểm nổi trên mặt đất trước khi đường ống dẫn ngầm dưới đất).
++ Đối với Thương nhân nhập khẩu khí, nguyên liệu: Đồng hồ đo lượng khí, nguyên liệu nhập khẩu lắp đặt tại Điểm bắt đầu của đường ống dẫn khí, nguyên liệu (Điểm nổi trên mặt đất trước khi đường ống dẫn cung cấp vào nhà máy).
++ Đối với trường hợp lắp đặt các đường ống song song (đường nhánh) có hoặc không lắp đồng hồ đo lượng khí, nguyên liệu qua đường nhánh thì phải đảm bảo khí, nguyên liệu chỉ được cấp qua một đường nhánh. Các đường nhánh còn lại phải được khóa van và được niêm phong hải quan.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2025-11-30T15:13:44Z</dcterms:created>
  <dc:creator>Apache POI</dc:creator>
</cp:coreProperties>
</file>