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hải quan đối với xăng dầu, hóa chất, khí, nguyên liệu xuất khẩu, tái xuất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gửi hồ sơ đề nghị làm thủ tục hải quan đối với xăng dầu, hóa chất,khí, nguyên liệu xuất khẩu, tái xuất.</w:t>
      </w:r>
    </w:p>
    <w:p>
      <w:pPr>
        <w:spacing w:after="0" w:before="0" w:lineRule="auto" w:line="276"/>
        <w:jc w:val="both"/>
      </w:pPr>
      <w:r>
        <w:rPr>
          <w:rFonts w:ascii="Times New Roman" w:hAnsi="Times New Roman" w:cs="Times New Roman" w:eastAsia="Times New Roman"/>
          <w:b w:val="false"/>
          <w:sz w:val="26"/>
        </w:rPr>
        <w:t>Bước 2: Kiểm tra hồ sơ (trường hợp có nghi vấn với chứng từ bản chụp, Chi cục Hải quan yêu cầu doanh nghiệp xuất trình bản chính để kiểm tra, đối chiếu); lập Phiếu theo dõi trừ lùi khi làm thủ tục tái xuất; tính thuế, thu thuế đối với xăng dầu, hóa chất, khí đã làm thủ tục tái xuất; xác định xăng dầu, hóa chất, khí đã xuất khẩu đối với xăng dầu, hóa chất, khí xuất khẩu, tái xuất.</w:t>
      </w:r>
    </w:p>
    <w:p>
      <w:pPr>
        <w:spacing w:after="0" w:before="0" w:lineRule="auto" w:line="276"/>
        <w:jc w:val="both"/>
      </w:pPr>
      <w:r>
        <w:rPr>
          <w:rFonts w:ascii="Times New Roman" w:hAnsi="Times New Roman" w:cs="Times New Roman" w:eastAsia="Times New Roman"/>
          <w:b w:val="false"/>
          <w:sz w:val="26"/>
        </w:rPr>
        <w:t>Bước 3: Doanh nghiệp thực hiện nộp thuế đối với xăng dầu, hóa chất, khí xuất khẩu, tái xuất.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Thời hạn tiếp nhận, đăng ký, kiểm tra hồ sơ hải quan: ngay sau khi người khai hải quan nộp, xuất trình hồ sơ hải quan đúng quy định của pháp luật (Khoản 1, Điều 23 Luật Hải quan)  + Thời hạn hoàn thành thành kiểm tra hồ sơ và kiểm tra thực tế hàng hóa, phương tiện vận tải:  ++ Hoàn thành việc kiểm tra hồ sơ chậm nhất là 02 giờ làm việc kể từ thời điểm cơ quan hải quan tiếp nhận đầy đủ hồ sơ hải quan;  ++ Hoàn thành việc kiểm tra thực tế hàng hoá (căn cứ Thông báo kết quả giám định về lượng, Thông báo kết quả kiểm tra nhà nước về chất lượng, Chứng thư giám định về chủng loại hoặc Phiếu kết quả thử nghiệm của Thương nhân) chậm nhất là 08 giờ làm việc kể từ thời điểm người khai hải quan xuất trình đầy đủ hàng hoá cho cơ quan hải quan;  Trường hợp hàng hóa thuộc đối tượng kiểm tra chuyên ngành về chất lượng theo quy định của pháp luật có liên quan thì thời hạn hoàn thành kiểm tra thực tế hàng hóa được tính từ thời điểm nhận được kết quả kiểm tra chuyên ngành theo quy định.  Trường hợp lô hàng có số lượng lớn, nhiều chủng loại hoặc việc kiểm tra phức tạp thì Thủ trưởng cơ quan hải quan nơi làm thủ tục hải quan quyết định việc gia hạn thời gian kiểm tra thực tế hàng hóa, nhưng thời gian gia hạn tối đa không quá 02 ngày. </w:t>
            </w:r>
          </w:p>
        </w:tc>
        <w:tc>
          <w:p/>
          <w:p>
            <w:pPr>
              <w:spacing w:after="0" w:before="0" w:lineRule="auto" w:line="276"/>
              <w:jc w:val="left"/>
            </w:pPr>
            <w:r>
              <w:rPr>
                <w:rFonts w:ascii="Times New Roman" w:hAnsi="Times New Roman" w:cs="Times New Roman" w:eastAsia="Times New Roman"/>
                <w:b w:val="false"/>
                <w:sz w:val="26"/>
              </w:rPr>
              <w:t>Lệ phí : 20.000 Đồng</w:t>
              <w:t xml:space="preserve"> (20.000 vnđ /tờ khai)</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Thời hạn tiếp nhận, đăng ký, kiểm tra hồ sơ hải quan: ngay sau khi người khai hải quan nộp, xuất trình hồ sơ hải quan đúng quy định của pháp luật (Khoản 1, Điều 23 Luật Hải quan)  + Thời hạn hoàn thành thành kiểm tra hồ sơ và kiểm tra thực tế hàng hóa, phương tiện vận tải:  ++ Hoàn thành việc kiểm tra hồ sơ chậm nhất là 02 giờ làm việc kể từ thời điểm cơ quan hải quan tiếp nhận đầy đủ hồ sơ hải quan;  ++ Hoàn thành việc kiểm tra thực tế hàng hoá (căn cứ Thông báo kết quả giám định về lượng, Thông báo kết quả kiểm tra nhà nước về chất lượng, Chứng thư giám định về chủng loại hoặc Phiếu kết quả thử nghiệm của Thương nhân) chậm nhất là 08 giờ làm việc kể từ thời điểm người khai hải quan xuất trình đầy đủ hàng hoá cho cơ quan hải quan;  Trường hợp hàng hóa thuộc đối tượng kiểm tra chuyên ngành về chất lượng theo quy định của pháp luật có liên quan thì thời hạn hoàn thành kiểm tra thực tế hàng hóa được tính từ thời điểm nhận được kết quả kiểm tra chuyên ngành theo quy định.  Trường hợp lô hàng có số lượng lớn, nhiều chủng loại hoặc việc kiểm tra phức tạp thì Thủ trưởng cơ quan hải quan nơi làm thủ tục hải quan quyết định việc gia hạn thời gian kiểm tra thực tế hàng hóa, nhưng thời gian gia hạn tối đa không quá 02 ngày. </w:t>
            </w:r>
          </w:p>
        </w:tc>
        <w:tc>
          <w:p/>
          <w:p>
            <w:pPr>
              <w:spacing w:after="0" w:before="0" w:lineRule="auto" w:line="276"/>
              <w:jc w:val="left"/>
            </w:pPr>
            <w:r>
              <w:rPr>
                <w:rFonts w:ascii="Times New Roman" w:hAnsi="Times New Roman" w:cs="Times New Roman" w:eastAsia="Times New Roman"/>
                <w:b w:val="false"/>
                <w:sz w:val="26"/>
              </w:rPr>
              <w:t>Lệ phí : 20.000 Đồng</w:t>
              <w:t xml:space="preserve"> (20.000 vnđ /tờ khai)</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hải quan đối với xăng dầu, hóa chất, khí tái xuất: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hàng hóa xuất khẩu theo các chỉ tiêu thông tin tại Phụ lục II ban hành kèm theo Thông tư số 38/2015/TT-BTC ngày 25/3/2015 của Bộ Tài chính.  Trường hợp thực hiện trên tờ khai hải quan giấy theo quy định tại khoản 2 Điều 25 Nghị định số 08/2015/NĐ-CP ngày 21/1/2015 của Chính phủ, người khai hải quan khai và nộp 02 bản chính tờ khai hàng hóa nhập khẩu theo mẫu HQ/2015/NK Phụ lục IV ban hành kèm theo Thông tư số 38/2015/TT-BTC;</w:t>
            </w:r>
          </w:p>
        </w:tc>
        <w:tc>
          <w:p/>
          <w:p>
            <w:pPr>
              <w:spacing w:after="0" w:before="0" w:lineRule="auto" w:line="276"/>
              <w:jc w:val="left"/>
            </w:pPr>
            <w:r>
              <w:rPr>
                <w:rFonts w:ascii="Times New Roman" w:hAnsi="Times New Roman" w:cs="Times New Roman" w:eastAsia="Times New Roman"/>
                <w:b w:val="false"/>
                <w:sz w:val="26"/>
              </w:rPr>
              <w:t>Phu luc 4-Mau to khai xuat khau, nhap khau.doc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kinh doanh xuất nhập khẩu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xuất nhập khẩu khí hoặc văn bản có giá trị tương đương: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Chứng thư giám định lượng (trường hợp hàng hóa vận chuyển bằng phương tiện vận tải đường thủy qua cửa khẩu cảng thủy nội địa, cửa khẩu cảng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phép xuất khẩu đối với hàng hóa phải có giấy phép nhập khẩu: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bán hàng, phụ lục hợp đồng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Hóa đơn thương mại: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hải quan đối với xăng dầu, hóa chất, khí xuất khẩu: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 Hóa đơn thương mại: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Văn bản nêu rõ nguồn gốc xăng dầu, khí xuất khẩu (nguồn do Thương nhân nhập khẩu hoặc mua của Thương nhân đầu mối nhập khẩu hoặc lấy từ nguồn sản xuất, pha chế xăng dầu, khí):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Văn bản xác nhận của Bộ Công Thương về đăng ký kế hoạch sản xuất, nhập khẩu nguyên liệu và tiêu thụ sản phẩm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Tờ khai hàng hóa xuất khẩu theo các chỉ tiêu thông tin tại Phụ lục II ban hành kèm theo Thông tư số 38/2015/TT-BTC ngày 25/3/2015 của Bộ Tài chính.  Trường hợp thực hiện trên tờ khai hải quan giấy theo quy định tại khoản 2 Điều 25 Nghị định số 08/2015/NĐ-CP ngày 21/1/2015 của Chính phủ, người khai hải quan khai và nộp 02 bản chính tờ khai hàng hóa nhập khẩu theo mẫu HQ/2015/NK Phụ lục IV ban hành kèm theo Thông tư số 38/2015/TT-BTC;</w:t>
            </w:r>
          </w:p>
        </w:tc>
        <w:tc>
          <w:p/>
          <w:p>
            <w:pPr>
              <w:spacing w:after="0" w:before="0" w:lineRule="auto" w:line="276"/>
              <w:jc w:val="left"/>
            </w:pPr>
            <w:r>
              <w:rPr>
                <w:rFonts w:ascii="Times New Roman" w:hAnsi="Times New Roman" w:cs="Times New Roman" w:eastAsia="Times New Roman"/>
                <w:b w:val="false"/>
                <w:sz w:val="26"/>
              </w:rPr>
              <w:t>Phu luc 4-Mau to khai xuat khau, nhap khau.doc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Giấy phép kinh doanh xuất nhập khẩu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Giấy chứng nhận đủ điều kiện xuất nhập khẩu khí hoặc văn bản có giá trị tương đương: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Chứng thư giám định lượng (trường hợp hàng hóa vận chuyển bằng phương tiện vận tải đường thủy qua cửa khẩu cảng thủy nội địa, cửa khẩu cảng biển):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Giấy phép xuất khẩu đối với hàng hóa phải có giấy phép nhập khẩu: 01 bản chính.  Trường hợp lô hàng tạm nhập được thực hiện trên tờ khai giấy theo mẫu HQ/2015/NK Phụ lục V ban hành kèm theo Thông tư số 38/2015/TT-BTC thì khi làm thủ tục tái xuất, người khai hải quan được thực hiện khai báo trên tờ khai hải quan giấy theo mẫu HQ/2015/NK Phụ lục V ban hành kèm theo Thông tư số 38/2015/TT-BTC  Khi làm thủ tục tái xuất, thương nhân phải khai báo thông tin về số tờ khai tạm nhập, số thứ tự của dòng hàng trên tờ khai tạm nhập tương ứng với từng dòng hàng tái xuất để Hệ thống theo dõi trừ lùi; Hệ thống tự động thực hiện trừ lùi theo số lượng trên tờ khai tạm nhập tương ứng.  Trường hợp áp dụng cơ chế một cửa quốc gia, cơ quan quản lý nhà nước chuyên ngành gửi các chứng từ quy định tại điểm b, điểm c, điểm g, điểm h khoản này dưới dạng điện tử thông qua Cổng thông tin một cửa quốc gia, người khai hải quan không phải nộp khi làm thủ tục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xăng dầu, hóa chất, khí đã xuất khẩu, tái xuất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172/2010/TT-BTC</w:t>
            </w:r>
          </w:p>
        </w:tc>
        <w:tc>
          <w:p/>
          <w:p>
            <w:pPr>
              <w:spacing w:after="0" w:before="0" w:lineRule="auto" w:line="276"/>
              <w:jc w:val="left"/>
            </w:pPr>
            <w:r>
              <w:rPr>
                <w:rFonts w:ascii="Times New Roman" w:hAnsi="Times New Roman" w:cs="Times New Roman" w:eastAsia="Times New Roman"/>
                <w:b w:val="false"/>
                <w:sz w:val="26"/>
              </w:rPr>
              <w:t>Thông tư 172/2010/TT-BTC</w:t>
            </w:r>
          </w:p>
        </w:tc>
        <w:tc>
          <w:p/>
          <w:p>
            <w:pPr>
              <w:spacing w:after="0" w:before="0" w:lineRule="auto" w:line="276"/>
              <w:jc w:val="left"/>
            </w:pPr>
            <w:r>
              <w:rPr>
                <w:rFonts w:ascii="Times New Roman" w:hAnsi="Times New Roman" w:cs="Times New Roman" w:eastAsia="Times New Roman"/>
                <w:b w:val="false"/>
                <w:sz w:val="26"/>
              </w:rPr>
              <w:t>02-11-2010</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69/2016/TT-BTC</w:t>
            </w:r>
          </w:p>
        </w:tc>
        <w:tc>
          <w:p/>
          <w:p>
            <w:pPr>
              <w:spacing w:after="0" w:before="0" w:lineRule="auto" w:line="276"/>
              <w:jc w:val="left"/>
            </w:pPr>
            <w:r>
              <w:rPr>
                <w:rFonts w:ascii="Times New Roman" w:hAnsi="Times New Roman" w:cs="Times New Roman" w:eastAsia="Times New Roman"/>
                <w:b w:val="false"/>
                <w:sz w:val="26"/>
              </w:rPr>
              <w:t>Thông tư 69/2016/TT-BTC</w:t>
            </w:r>
          </w:p>
        </w:tc>
        <w:tc>
          <w:p/>
          <w:p>
            <w:pPr>
              <w:spacing w:after="0" w:before="0" w:lineRule="auto" w:line="276"/>
              <w:jc w:val="left"/>
            </w:pPr>
            <w:r>
              <w:rPr>
                <w:rFonts w:ascii="Times New Roman" w:hAnsi="Times New Roman" w:cs="Times New Roman" w:eastAsia="Times New Roman"/>
                <w:b w:val="false"/>
                <w:sz w:val="26"/>
              </w:rPr>
              <w:t>06-05-2016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Hàng hóa tái xuất trong thời hạn được lưu tại Việt Nam theo quy định tại khoản 4 Điều 11 Nghị định số 187/2013/NĐ-CP ngày 20/11/2013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2025-11-27T15:44:41Z</dcterms:created>
  <dc:creator>Apache POI</dc:creator>
</cp:coreProperties>
</file>