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Thỏa thuận bổ nhiệm người đứng đầu cơ quan báo chí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quan báo chí khi có sự thay đổi về nhân sự (người đứng đầu) thì cơ quan chủ quản báo chí phải làm thủ tục thỏa thuận bằng văn bản với cơ quan quản lý nhà nước về báo chí là Bộ Văn hóa, Thể thao và Du lịch (VHTTDL).</w:t>
      </w:r>
    </w:p>
    <w:p>
      <w:pPr>
        <w:spacing w:after="0" w:before="0" w:lineRule="auto" w:line="276"/>
        <w:jc w:val="both"/>
      </w:pPr>
      <w:r>
        <w:rPr>
          <w:rFonts w:ascii="Times New Roman" w:hAnsi="Times New Roman" w:cs="Times New Roman" w:eastAsia="Times New Roman"/>
          <w:b w:val="false"/>
          <w:sz w:val="26"/>
        </w:rPr>
        <w:t>Trường hợp hồ sơ đầy đủ theo quy định, Bộ VHTTDL có văn bản thỏa thuận với Ban Tuyên giáo và Dân vận Trung ương về việc bổ nhiệm, miễn nhiệm lãnh đạo cơ quan báo chí.</w:t>
      </w:r>
    </w:p>
    <w:p>
      <w:pPr>
        <w:spacing w:after="0" w:before="0" w:lineRule="auto" w:line="276"/>
        <w:jc w:val="both"/>
      </w:pPr>
      <w:r>
        <w:rPr>
          <w:rFonts w:ascii="Times New Roman" w:hAnsi="Times New Roman" w:cs="Times New Roman" w:eastAsia="Times New Roman"/>
          <w:b w:val="false"/>
          <w:sz w:val="26"/>
        </w:rPr>
        <w:t>Sau khi có ý kiến của Ban Tuyên giáo và Dân vận Trung ương, Bộ VHTTDL có văn bản trả lời.</w:t>
      </w:r>
    </w:p>
    <w:p>
      <w:pPr>
        <w:spacing w:after="0" w:before="0" w:lineRule="auto" w:line="276"/>
        <w:jc w:val="both"/>
      </w:pPr>
      <w:r>
        <w:rPr>
          <w:rFonts w:ascii="Times New Roman" w:hAnsi="Times New Roman" w:cs="Times New Roman" w:eastAsia="Times New Roman"/>
          <w:b w:val="false"/>
          <w:sz w:val="26"/>
        </w:rPr>
        <w:t>Trường hợp hồ sơ không hợp lệ, Bộ  sẽ có văn bản nêu rõ lý do không chấp thuận.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cơ quan chủ quản báo chí về việc bổ nhiệm, miễn nhiệm người đứng đầu cơ quan báo chí;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tự thuật (có dán ảnh) của người đứng đầu cơ quan báo chí có xác nhận của cơ quan chủ quản hoặc công chứng nhà nước.</w:t>
            </w:r>
          </w:p>
        </w:tc>
        <w:tc>
          <w:p/>
          <w:p>
            <w:pPr>
              <w:spacing w:after="0" w:before="0" w:lineRule="auto" w:line="276"/>
              <w:jc w:val="left"/>
            </w:pPr>
            <w:r>
              <w:rPr>
                <w:rFonts w:ascii="Times New Roman" w:hAnsi="Times New Roman" w:cs="Times New Roman" w:eastAsia="Times New Roman"/>
                <w:b w:val="false"/>
                <w:sz w:val="26"/>
              </w:rPr>
              <w:t>Mẫu 3 - Sơ yếu lý lịch của lãnh đạo báo in và báo điện tử.doc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Báo chí, 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Văn hóa, Thể thao và Du lịch, Số 51 Ngô Quyền,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thỏa thuận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CSDL quốc gia về VBPL » CSDL Trung ương » Văn bản pháp luật »</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để được bổ nhiệm người đứng đầu cơ quan báo chí:
- Là công dân Việt Nam, có địa chỉ thường trú tại Việt Nam;
- Có bằng tốt nghiệp đại học trở lên. Người đứng đầu cơ quan báo chí thuộc các tổ chức tôn giáo không áp dụng tiêu chuẩn này;
- Có thẻ nhà báo còn hiệu lực. Người đứng đầu cơ quan báo chí thuộc các tổ chức tôn giáo, tạp chí khoa học không áp dụng tiêu chuẩn này;
- Có phẩm chất đạo đức tốt; không trong thời gian thi hành hình thức kỷ luật từ khiển trách trở lên theo quy định của pháp luật về công chức, viên chức và pháp luật về lao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2025-11-27T15:48:01Z</dcterms:created>
  <dc:creator>Apache POI</dc:creator>
</cp:coreProperties>
</file>