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nhận cha, mẹ, con có yếu tố nước ngoài tại khu vực biên giới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nhận cha, mẹ, con nộp hồ sơ đăng ký nhận cha, mẹ, con tại Trung tâm phục vụ hành chính công có thẩm quyền nộp lệ phí nếu thuộc trường hợp phải nộp lệ phí đăng ký nhận cha, mẹ, con; nộp phí cấp bản sao Trích lục đăng ký nhận cha, mẹ, con nếu có yêu cầu cấp bản sao Trích lục đăng ký nhận cha, mẹ, con.  
- Nếu lựa chọn hình thức nộp hồ sơ trực tuyến, người yêu cầu đăng ký nhận cha, mẹ, con truy cập Cổng dịch vụ công quốc gia, xác thực người dùng theo hướng dẫn, đăng nhập vào hệ thống, lựa chọn Ủy ban nhân dân cấp xã có thẩm quyền. 
Người yêu cầu đăng ký nhận cha, mẹ, con trực tuyến cung cấp thông tin theo mẫu hộ tịch điện tử tương tác đăng ký nhận cha, mẹ, con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 
- Cán bộ tiếp nhận hồ sơ tại Trung tâm Phục vụ hành chính công có trách nhiệm kiểm tra tính chính xác, đầy đủ, thống nhất, hợp lệ của hồ sơ. 
(i)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
(ii)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(iii) Trường hợp người yêu cầu đăng ký nhận cha, mẹ, con không bổ sung, hoàn thiện được hồ sơ thì cán bộ tiếp nhận hồ sơ báo cáo Lãnh đạo Trung tâm Phục vụ hành chính công có thông báo từ chối giải quyết yêu cầu đăng ký nhận cha, mẹ, con. 
- Công chức tư pháp - hộ tịch thẩm tra hồ sơ (thẩm tra tính thống nhất, hợp lệ của các thông tin trong hồ sơ, giấy tờ, tài liệu do người yêu cầu nộp, xuất trình hoặc đính kèm). 
+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 Công chức tư pháp - hộ tịch niêm yết việc nhận cha, mẹ, con tại trụ sở Ủy ban nhân dân cấp xã.
+ Nếu thấy việc nhận cha, mẹ, con là đúng và không có tranh chấp, hồ sơ đầy đủ, hợp lệ, đúng quy định, trường hợp tiếp nhận hồ sơ đăng ký nhận cha, mẹ, con theo hình thức trực tiếp, thì công chức tư pháp - hộ tịch thực hiện ghi vào Sổ đăng ký nhận cha, mẹ, con, cập nhật thông tin đăng ký nhận cha, mẹ, con trên Phần mềm đăng ký, quản lý hộ tịch điện tử dùng chung. 
Trường hợp tiếp nhận hồ sơ đăng ký nhận cha, mẹ, con theo hình thức trực tuyến, công chức tư pháp - hộ tịch gửi lại biểu mẫu Trích lục đăng ký nhận cha, mẹ, con điện tử với thông tin đầy đủ cho người yêu cầu qua thư điện tử hoặc thiết       bị số.  
Người yêu cầu có trách nhiệm kiểm tra tính chính xác, đầy đủ của các thông tin trên biểu mẫu Trích lục đăng ký nhận cha, mẹ, con điện tử và xác nhận (tối đa một ngày). 
Nếu người yêu cầu xác nhận thông tin đã thống nhất, đầy đủ hoặc không có phản hồi sau thời hạn một ngày thì công chức tư pháp - hộ tịch thực hiện ghi nội dung vào Sổ đăng ký nhận cha, mẹ, con, cập nhật thông tin đăng ký nhận cha, mẹ, con trên Phần mềm đăng ký, quản lý hộ tịch điện tử dùng chung.  
- Công chức tư pháp - hộ tịch in Trích lục đăng ký nhận cha, mẹ, con, trình Lãnh đạo Ủy ban nhân dân cấp xã ký, chuyển Trung tâm Phục vụ hành chính công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07 ngày làm việc; trường hợp phải xác minh thì thời hạn giải quyết không quá 12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nhận cha, mẹ, con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nhận cha, mẹ, con thực hiện nộp hồ sơ trực tiếp tại Trung tâm Phục vụ hành chính công hoặc nộp hồ sơ trực tuyến trên Cổng dịch vụ công quốc gia (https://dichvucong.gov.vn) (một bên có thể nộp hồ sơ mà không phải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07 ngày làm việc; trường hợp phải xác minh thì thời hạn giải quyết không quá 12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nhận cha, mẹ, con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nhận cha, mẹ, con thực hiện nộp hồ sơ trực tiếp tại Trung tâm Phục vụ hành chính công hoặc nộp hồ sơ trực tuyến trên Cổng dịch vụ công quốc gia (https://dichvucong.gov.vn) (một bên có thể nộp hồ sơ mà không phải có văn bản ủy quyền của bên còn lại).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Chứng cứ chứng minh quan hệ cha, con hoặc quan hệ mẹ, con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y tế, cơ quan giám định hoặc cơ quan khác có thẩm quyền xác nhận quan hệ cha con, quan hệ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không có văn bản nêu trên thì các bên nhận cha, mẹ, con lập văn bản cam đoan về mối quan hệ cha, mẹ, con, có ít nhất hai người làm chứng về mối quan hệ cha,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nhận cha, mẹ, con.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tờ chứng minh nhân thân, giấy tờ chứng minh nơi thường trú ở khu vực biên giới của công dân nước láng giềng.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nhận cha, mẹ, con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nhận cha, mẹ, con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Cơ quan đăng ký hộ tịch từ chối giải quyết hoặc đề nghị cơ quan có thẩm quyền hủy bỏ kết quả đăng ký hộ tịch, nếu có cơ sở xác định nội dung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nhận cha, mẹ, con theo mẫu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6.TKngknhnCMC.doc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nhận cha, mẹ, con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6-DTTT-ngknhnchamcon.doc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nhận cha, mẹ, con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xã ở khu vực biên giới nơi công dân Việt Nam thường trú.</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đăng ký nhận cha, mẹ, con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52/2014/QH13 </w:t>
            </w:r>
          </w:p>
        </w:tc>
        <w:tc>
          <w:p/>
          <w:p>
            <w:pPr>
              <w:spacing w:after="0" w:before="0" w:lineRule="auto" w:line="276"/>
              <w:jc w:val="left"/>
            </w:pPr>
            <w:r>
              <w:rPr>
                <w:rFonts w:ascii="Times New Roman" w:hAnsi="Times New Roman" w:cs="Times New Roman" w:eastAsia="Times New Roman"/>
                <w:b w:val="false"/>
                <w:sz w:val="26"/>
              </w:rPr>
              <w:t>Luật Hôn nhân và Gia đình</w:t>
            </w:r>
          </w:p>
        </w:tc>
        <w:tc>
          <w:p/>
          <w:p>
            <w:pPr>
              <w:spacing w:after="0" w:before="0" w:lineRule="auto" w:line="276"/>
              <w:jc w:val="left"/>
            </w:pPr>
            <w:r>
              <w:rPr>
                <w:rFonts w:ascii="Times New Roman" w:hAnsi="Times New Roman" w:cs="Times New Roman" w:eastAsia="Times New Roman"/>
                <w:b w:val="false"/>
                <w:sz w:val="26"/>
              </w:rPr>
              <w:t>19-06-2014</w:t>
            </w:r>
          </w:p>
        </w:tc>
        <w:tc>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42/2020/NĐ-CP</w:t>
            </w:r>
          </w:p>
        </w:tc>
        <w:tc>
          <w:p/>
          <w:p>
            <w:pPr>
              <w:spacing w:after="0" w:before="0" w:lineRule="auto" w:line="276"/>
              <w:jc w:val="left"/>
            </w:pPr>
            <w:r>
              <w:rPr>
                <w:rFonts w:ascii="Times New Roman" w:hAnsi="Times New Roman" w:cs="Times New Roman" w:eastAsia="Times New Roman"/>
                <w:b w:val="false"/>
                <w:sz w:val="26"/>
              </w:rPr>
              <w:t>Nghị định 42/2020/NĐ-CP</w:t>
            </w:r>
          </w:p>
        </w:tc>
        <w:tc>
          <w:p/>
          <w:p>
            <w:pPr>
              <w:spacing w:after="0" w:before="0" w:lineRule="auto" w:line="276"/>
              <w:jc w:val="left"/>
            </w:pPr>
            <w:r>
              <w:rPr>
                <w:rFonts w:ascii="Times New Roman" w:hAnsi="Times New Roman" w:cs="Times New Roman" w:eastAsia="Times New Roman"/>
                <w:b w:val="false"/>
                <w:sz w:val="26"/>
              </w:rPr>
              <w:t>08-04-2020</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nhận cha, mẹ, con giữa công dân Việt Nam thường trú tại địa bàn xã ở khu vực biên giới với công dân của nước láng giềng thường trú tại đơn vị hành chính tương đương cấp xã của Việt Nam, tiếp giáp với xã ở khu vực biên giới của Việt Nam nơi công dân Việt Nam thường trú.
- Bên nhận và bên được nhận là cha, mẹ, con đều còn sống.
- Việc nhận cha, mẹ, con không có tranh chấp.
- Trường hợp nam, nữ chung sống với nhau như vợ chồng, không đăng ký kết hôn, sinh con, người con sống cùng với người cha, khi người cha làm thủ tục nhận con mà không liên hệ được với người mẹ thì không cần có ý kiến của người mẹ trong Tờ khai đăng ký nhận cha, mẹ, con.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2025-11-27T15:52:19Z</dcterms:created>
  <dc:creator>Apache POI</dc:creator>
</cp:coreProperties>
</file>