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1.000087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2278/QĐ-NHNN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cho phép thực hiện có thời hạn hoạt động ngoại hối khác trên thị trường trong nước và quốc tế của Ngân hàng Chính sách Xã hội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xml:space="preserve"> Bước 1: Ngân hàng Chính sách Xã hội có nhu cầu thực hiện hoạt động ngoại hối khác trên thị trường trong nước và quốc tế nộp hồ sơ cho Ngân hàng Nhà nước Việt Nam.</w:t>
      </w:r>
    </w:p>
    <w:p>
      <w:pPr>
        <w:spacing w:after="0" w:before="0" w:lineRule="auto" w:line="276"/>
        <w:jc w:val="both"/>
      </w:pPr>
      <w:r>
        <w:rPr>
          <w:rFonts w:ascii="Times New Roman" w:hAnsi="Times New Roman" w:cs="Times New Roman" w:eastAsia="Times New Roman"/>
          <w:b w:val="false"/>
          <w:sz w:val="26"/>
        </w:rPr>
        <w:t>Bước 2: Trường hợp hồ sơ chưa đầy đủ, trong thời hạn 10 (mười) ngày làm việc kể từ ngày nhận được hồ sơ, Ngân hàng Nhà nước có văn bản yêu cầu Ngân hàng Chính sách Xã hội bổ sung hồ sơ.</w:t>
      </w:r>
    </w:p>
    <w:p>
      <w:pPr>
        <w:spacing w:after="0" w:before="0" w:lineRule="auto" w:line="276"/>
        <w:jc w:val="both"/>
      </w:pPr>
      <w:r>
        <w:rPr>
          <w:rFonts w:ascii="Times New Roman" w:hAnsi="Times New Roman" w:cs="Times New Roman" w:eastAsia="Times New Roman"/>
          <w:b w:val="false"/>
          <w:sz w:val="26"/>
        </w:rPr>
        <w:t>Bước 3: Trong thời hạn 40 (bốn mươi) ngày kể từ ngày nhận đủ hồ sơ hợp lệ, Ngân hàng Nhà nước Việt Nam xem xét, cấp văn bản chấp thuận có thời hạn hoặc từ chối cấp văn bản chấp thuận. Trường hợp từ chối, Ngân hàng Nhà nước Việt Nam có văn bản thông báo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40 ngày kể từ ngày Ngân hàng Nhà nước Việt Nam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40 ngày kể từ ngày Ngân hàng Nhà nước Việt Nam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theo mẫu tại Phụ lục 1 Thông tư số 28/2016/TT-NHNN, trong đó nêu rõ sản phẩm hoặc nhóm sản phẩm đề nghị thực hiện và thời gian thực hiện</w:t>
            </w:r>
          </w:p>
        </w:tc>
        <w:tc>
          <w:p/>
          <w:p>
            <w:pPr>
              <w:spacing w:after="0" w:before="0" w:lineRule="auto" w:line="276"/>
              <w:jc w:val="left"/>
            </w:pPr>
            <w:r>
              <w:rPr>
                <w:rFonts w:ascii="Times New Roman" w:hAnsi="Times New Roman" w:cs="Times New Roman" w:eastAsia="Times New Roman"/>
                <w:b w:val="false"/>
                <w:sz w:val="26"/>
              </w:rPr>
              <w:t>Phlc1.docx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 định nội bộ về quy trình nghiệp vụ với các biện pháp quản lý rủi ro phù hợp đối với từng hoạt động ngoại hối đề nghị được thực hiện, trong đó các biện pháp quản lý rủi ro tối thiểu bao gồm các nội dung: nhận dạng các loại rủi ro, phương án quản lý các rủi ro này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 định nội bộ về tiêu chuẩn lựa chọn tổ chức đối tác, hạn mức giao dịch đối với các đối tác, trong đó phải bao gồm quy định về rà soát, đánh giá lại đối tác theo định kỳ và khi có sự kiện đột xuất ảnh hưởng tới xếp hạng tín dụng của các đối tác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tình hình hoạt động ngoại hối trong nước năm liền kề năm nộp hồ sơ đề nghị cấp phép và đến thời điểm nộp hồ sơ đề nghị cho phép thực hiện có thời hạn, trong đó cam kết không bị xử phạt vi phạm hành chính về hoạt động ngoại hối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báo cáo tài chính đã được kiểm toán năm liền kề năm đề nghị cho phép thực hiện có thời hạn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chấp thuận có thời hạn các hoạt động ngoại hối khác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47/2010/QH12</w:t>
            </w:r>
          </w:p>
        </w:tc>
        <w:tc>
          <w:p/>
          <w:p>
            <w:pPr>
              <w:spacing w:after="0" w:before="0" w:lineRule="auto" w:line="276"/>
              <w:jc w:val="left"/>
            </w:pPr>
            <w:r>
              <w:rPr>
                <w:rFonts w:ascii="Times New Roman" w:hAnsi="Times New Roman" w:cs="Times New Roman" w:eastAsia="Times New Roman"/>
                <w:b w:val="false"/>
                <w:sz w:val="26"/>
              </w:rPr>
              <w:t>Các tổ chức tín dụng</w:t>
            </w:r>
          </w:p>
        </w:tc>
        <w:tc>
          <w:p/>
          <w:p>
            <w:pPr>
              <w:spacing w:after="0" w:before="0" w:lineRule="auto" w:line="276"/>
              <w:jc w:val="left"/>
            </w:pPr>
            <w:r>
              <w:rPr>
                <w:rFonts w:ascii="Times New Roman" w:hAnsi="Times New Roman" w:cs="Times New Roman" w:eastAsia="Times New Roman"/>
                <w:b w:val="false"/>
                <w:sz w:val="26"/>
              </w:rPr>
              <w:t>16-06-2010</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21/2014/TT-NHNN</w:t>
            </w:r>
          </w:p>
        </w:tc>
        <w:tc>
          <w:p/>
          <w:p>
            <w:pPr>
              <w:spacing w:after="0" w:before="0" w:lineRule="auto" w:line="276"/>
              <w:jc w:val="left"/>
            </w:pPr>
            <w:r>
              <w:rPr>
                <w:rFonts w:ascii="Times New Roman" w:hAnsi="Times New Roman" w:cs="Times New Roman" w:eastAsia="Times New Roman"/>
                <w:b w:val="false"/>
                <w:sz w:val="26"/>
              </w:rPr>
              <w:t>Hướng dẫn về phạm vi hoạt động ngoại hối, điều kiện, trình tự, thủ tục chấp thuận hoạt động ngoại hối của tổ chức tín dụng, chi nhánh ngân hàng nước ngoài</w:t>
            </w:r>
          </w:p>
        </w:tc>
        <w:tc>
          <w:p/>
          <w:p>
            <w:pPr>
              <w:spacing w:after="0" w:before="0" w:lineRule="auto" w:line="276"/>
              <w:jc w:val="left"/>
            </w:pPr>
            <w:r>
              <w:rPr>
                <w:rFonts w:ascii="Times New Roman" w:hAnsi="Times New Roman" w:cs="Times New Roman" w:eastAsia="Times New Roman"/>
                <w:b w:val="false"/>
                <w:sz w:val="26"/>
              </w:rPr>
              <w:t>14-08-2014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28/2016/TT-NHNN</w:t>
            </w:r>
          </w:p>
        </w:tc>
        <w:tc>
          <w:p/>
          <w:p>
            <w:pPr>
              <w:spacing w:after="0" w:before="0" w:lineRule="auto" w:line="276"/>
              <w:jc w:val="left"/>
            </w:pPr>
            <w:r>
              <w:rPr>
                <w:rFonts w:ascii="Times New Roman" w:hAnsi="Times New Roman" w:cs="Times New Roman" w:eastAsia="Times New Roman"/>
                <w:b w:val="false"/>
                <w:sz w:val="26"/>
              </w:rPr>
              <w:t>Sửa đổi, bổ sung một số điều của Thông tư số 21/2014/TT-NHNN ngày 14 tháng 8 năm 2014 của Thống đốc Ngân hàng Nhà nước Việt Nam hướng dẫn về phạm vi hoạt động ngoại hối, điều kiện, trình tự, thủ tục chấp thuận hoạt động ngoại hối của tổ chức tín dụng, chi nhánh ngân hàng nước ngoài</w:t>
            </w:r>
          </w:p>
        </w:tc>
        <w:tc>
          <w:p/>
          <w:p>
            <w:pPr>
              <w:spacing w:after="0" w:before="0" w:lineRule="auto" w:line="276"/>
              <w:jc w:val="left"/>
            </w:pPr>
            <w:r>
              <w:rPr>
                <w:rFonts w:ascii="Times New Roman" w:hAnsi="Times New Roman" w:cs="Times New Roman" w:eastAsia="Times New Roman"/>
                <w:b w:val="false"/>
                <w:sz w:val="26"/>
              </w:rPr>
              <w:t>05-10-2016</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Đã được phép thực hiện hoạt động ngoại hối cơ bản trên thị trường trong nước hoặc trên thị trường quốc tế;
+ Có quy định nội bộ về quy trình nghiệp vụ với các biện pháp quản lý rủi ro đối với từng hoạt động ngoại hối đề nghị được thực hiện;
+ Có quy định nội bộ về tiêu chuẩn lựa chọn tổ chức đối tác, hạn mức giao dịch phù hợp đối với từng đối tác nước ngoài;
+ Không bị xử phạt vi phạm hành chính về hoạt động ngoại hối năm liền kề năm nộp hồ sơ đề nghị cấp phép và đến thời điểm nộp hồ sơ đề nghị cấp phép;
+ Hoạt động kinh doanh ngân hàng có lãi trong năm liền kề năm nộp hồ sơ đề nghị cấp phép theo báo cáo tài chính được kiểm toán.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https://thutuc.dichvucong.gov.vn/p/home/dvc-tthc-thu-tuc-hanh-chinh-chi-tiet.html?ma_thu_tuc=122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2025-11-27T15:53:51Z</dcterms:created>
  <dc:creator>Apache POI</dc:creator>
</cp:coreProperties>
</file>