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đối với hàng hóa xuất khẩu có giá trị dưới năm triệu đồng Việt Nam và không có thuế xuất khẩu, trừ hàng hóa phải có giấy phép xuất khẩu hoặc thuộc đối tượng phải kiểm tra chuyên ngành gửi qua dịch vụ chuyển phát nhanh quốc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nghiệp kinh doanh dịch vụ chuyển phát nhanh quốc tế chuẩn bị hồ sơ dưới dạng Tờ khai tài liệu chứng từ.</w:t>
      </w:r>
    </w:p>
    <w:p>
      <w:pPr>
        <w:spacing w:after="0" w:before="0" w:lineRule="auto" w:line="276"/>
        <w:jc w:val="both"/>
      </w:pPr>
      <w:r>
        <w:rPr>
          <w:rFonts w:ascii="Times New Roman" w:hAnsi="Times New Roman" w:cs="Times New Roman" w:eastAsia="Times New Roman"/>
          <w:b w:val="false"/>
          <w:sz w:val="26"/>
        </w:rPr>
        <w:t>Bước 2: Chi cục Hải quan tiếp nhận Tờ khai tài liệu chứng từ theo bản giấy hoặc định dạng điện tử nếu đã nối mạng với cơ quan Hải quan và kiểm tra hồ sơ; đối chiếu các nội dung kê khai.</w:t>
      </w:r>
    </w:p>
    <w:p>
      <w:pPr>
        <w:spacing w:after="0" w:before="0" w:lineRule="auto" w:line="276"/>
        <w:jc w:val="both"/>
      </w:pPr>
      <w:r>
        <w:rPr>
          <w:rFonts w:ascii="Times New Roman" w:hAnsi="Times New Roman" w:cs="Times New Roman" w:eastAsia="Times New Roman"/>
          <w:b w:val="false"/>
          <w:sz w:val="26"/>
        </w:rPr>
        <w:t xml:space="preserve">Bước 3: Xác nhận thông quan và lưu giữ hồ sơ theo quy định.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định tại Điều 23 Luật Hải quan:  + Tiếp nhận, đăng ký, kiểm tra hồ sơ hải quan ngay sau khi người khai hải quan nộp, xuất trình;  + Hoàn thành kiểm tra hồ sơ chậm nhất là 02 giờ làm việc kể từ thời điểm cơ quan hải quan tiếp nhận đầy đủ hồ sơ hải quan;  + Hoàn thành kiểm tra thực tế hàng hóa chậm nhất là 08 giờ làm việc kể từ thời điểm người khai hải quan xuất trình đầy đủ hàng hóa cho cơ quan hải quan, trường hợp được gia hạn thì thời gian tối đa không quá 02 ngày.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quy định tại Điều 23 Luật Hải quan:  + Tiếp nhận, đăng ký, kiểm tra hồ sơ hải quan ngay sau khi người khai hải quan nộp, xuất trình;  + Hoàn thành kiểm tra hồ sơ chậm nhất là 02 giờ làm việc kể từ thời điểm cơ quan hải quan tiếp nhận đầy đủ hồ sơ hải quan;  + Hoàn thành kiểm tra thực tế hàng hóa chậm nhất là 08 giờ làm việc kể từ thời điểm người khai hải quan xuất trình đầy đủ hàng hóa cho cơ quan hải quan, trường hợp được gia hạn thì thời gian tối đa không quá 02 ngày.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Tờ khai hàng hóa xuất khẩu trị giá thấp: 01 bản chính</w:t>
            </w:r>
          </w:p>
        </w:tc>
        <w:tc>
          <w:p/>
          <w:p>
            <w:pPr>
              <w:spacing w:after="0" w:before="0" w:lineRule="auto" w:line="276"/>
              <w:jc w:val="left"/>
            </w:pPr>
            <w:r>
              <w:rPr>
                <w:rFonts w:ascii="Times New Roman" w:hAnsi="Times New Roman" w:cs="Times New Roman" w:eastAsia="Times New Roman"/>
                <w:b w:val="false"/>
                <w:sz w:val="26"/>
              </w:rPr>
              <w:t>191_2015_TT-BTC(12842).pdf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Hóa đơn thương mại (nếu có): 01 bản chụp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quan hàng hóa nhập khẩu,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191/2015/TT-BTC</w:t>
            </w:r>
          </w:p>
        </w:tc>
        <w:tc>
          <w:p/>
          <w:p>
            <w:pPr>
              <w:spacing w:after="0" w:before="0" w:lineRule="auto" w:line="276"/>
              <w:jc w:val="left"/>
            </w:pPr>
            <w:r>
              <w:rPr>
                <w:rFonts w:ascii="Times New Roman" w:hAnsi="Times New Roman" w:cs="Times New Roman" w:eastAsia="Times New Roman"/>
                <w:b w:val="false"/>
                <w:sz w:val="26"/>
              </w:rPr>
              <w:t>Thông tư 191/2015/TT-BTC</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2025-11-27T15:55:02Z</dcterms:created>
  <dc:creator>Apache POI</dc:creator>
</cp:coreProperties>
</file>