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tạm nhập vàng nguyên liệu để tái xuất sản phẩm đối với doanh nghiệp có hợp đồng gia công vàng trang sức, mỹ nghệ với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có nhu cầu cấp Giấy phép tạm nhập vàng nguyên liệu để tái xuất sản phẩm đối với doanh nghiệp có hợp đồng gia công vàng trang sức, mỹ nghệ với nước ngoài nộp hồ sơ theo quy định gửi Ngân hàng Nhà nước chi nhánh Khu vực nơi doanh nghiệp đặt trụ sở chính.
- Bước 2: Trong thời hạn 10 (mười) ngày làm việc kể từ ngày nhận đủ hồ sơ hợp lệ theo quy định tại Điều 6 Thông tư số 34/2025/TT-NHNN, Giám đốc Ngân hàng Nhà nước chi nhánh Khu vực cấp hoặc từ chối cấp (ghi rõ lý do) Giấy phép tạm nhập vàng nguyên liệu để tái xuất sản phẩm theo mẫu tại Phụ lục số 13a ban hành kèm theo Thông tư số 34/2025/TT-NHNN. Thời hạn có giá trị của Giấy phép tạm nhập vàng nguyên liệu để tái xuất sản phẩm được xác định căn cứ theo hợp đồng gia công vàng trang sức, mỹ nghệ và tối đa là 12 tháng kể từ ngày cấp phép. Việc tái xuất sản phẩm thực hiện trong thời hạn có giá trị của Giấy phép. Khối lượng vàng nguyên liệu nhập khẩu được xác định căn cứ hợp đồng gia công vàng trang sức, mỹ nghệ của doanh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tạm nhập vàng nguyên liệu để tái xuất sản phẩm theo mẫu tại Phụ lục số 04a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Phulucso4a.docx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Hợp đồng gia công vàng trang sức, mỹ nghệ với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Báo cáo tình hình nhập khẩu vàng nguyên liệu, sản xuất và xuất khẩu vàng trang sức, mỹ nghệ của doanh nghiệp trong thời hạn 12 (mười hai) tháng liền kề trước thời điểm nộp hồ sơ theo mẫu tại Phụ lục số 05a ban hành kèm theo Thông tư số 34/2025/TT-NHNN, kèm bảng kê các tờ khai Hải quan tạm nhập - tái xuất vàng và Phiếu trừ lùi in từ hệ thống thông tin nghiệp vụ Hải quan có xác nhận của doanh nghiệp về tính chính xác của tài liệu này theo mẫu tại Phụ lục số 06 ban hành kèm theo Thông tư số 34/2025/TT-NHNN (nếu có).</w:t>
            </w:r>
          </w:p>
        </w:tc>
        <w:tc>
          <w:p/>
          <w:p>
            <w:pPr>
              <w:spacing w:after="0" w:before="0" w:lineRule="auto" w:line="276"/>
              <w:jc w:val="left"/>
            </w:pPr>
            <w:r>
              <w:rPr>
                <w:rFonts w:ascii="Times New Roman" w:hAnsi="Times New Roman" w:cs="Times New Roman" w:eastAsia="Times New Roman"/>
                <w:b w:val="false"/>
                <w:sz w:val="26"/>
              </w:rPr>
              <w:t>Phulucso05a.docx</w:t>
            </w:r>
          </w:p>
          <w:p>
            <w:pPr>
              <w:spacing w:after="0" w:before="0" w:lineRule="auto" w:line="276"/>
              <w:jc w:val="left"/>
            </w:pPr>
            <w:r>
              <w:rPr>
                <w:rFonts w:ascii="Times New Roman" w:hAnsi="Times New Roman" w:cs="Times New Roman" w:eastAsia="Times New Roman"/>
                <w:b w:val="false"/>
                <w:sz w:val="26"/>
              </w:rPr>
              <w:t>Phulucso06.docx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sửa đổi, bổ sung tạm nhập vàng nguyên liệu để tái xuất sản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24/2012/NĐ-CP</w:t>
            </w:r>
          </w:p>
        </w:tc>
        <w:tc>
          <w:p/>
          <w:p>
            <w:pPr>
              <w:spacing w:after="0" w:before="0" w:lineRule="auto" w:line="276"/>
              <w:jc w:val="left"/>
            </w:pPr>
            <w:r>
              <w:rPr>
                <w:rFonts w:ascii="Times New Roman" w:hAnsi="Times New Roman" w:cs="Times New Roman" w:eastAsia="Times New Roman"/>
                <w:b w:val="false"/>
                <w:sz w:val="26"/>
              </w:rPr>
              <w:t>Nghị định 24/2012/NĐ-CP</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kinh doanh vàng có hợp đồng gia công vàng trang sức, mỹ nghệ với nước ngoài được Ngân hàng Nhà nước xem xét cấp Giấy phép tạm nhập vàng nguyên liệu để tái xuất sản phẩm khi đáp ứng các điều kiện sau:
1. Có Giấy chứng nhận đủ điều kiện sản xuất vàng trang sức, mỹ nghệ do Ngân hàng Nhà nước cấp;
2. Nhu cầu nhập khẩu vàng nguyên liệu phù hợp với hợp đồng gia công vàng trang sức, mỹ nghệ với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2025-11-27T15:56:06Z</dcterms:created>
  <dc:creator>Apache POI</dc:creator>
</cp:coreProperties>
</file>