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1681</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nhập khẩu, tạm nhập khẩu xe ô tô, xe gắn máy không nhằm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Đối tượng nhập khẩu, tạm nhập khẩu xe ô tô, xe gắn máy không nhằm mục đích thương mại chuẩn bị hồ sơ (thành phần, số lượng hồ sơ quy định tại mục 3 dưới đây).</w:t>
      </w:r>
    </w:p>
    <w:p>
      <w:pPr>
        <w:spacing w:after="0" w:before="0" w:lineRule="auto" w:line="276"/>
        <w:jc w:val="both"/>
      </w:pPr>
      <w:r>
        <w:rPr>
          <w:rFonts w:ascii="Times New Roman" w:hAnsi="Times New Roman" w:cs="Times New Roman" w:eastAsia="Times New Roman"/>
          <w:b w:val="false"/>
          <w:sz w:val="26"/>
        </w:rPr>
        <w:t>Bước 2: Chi cục Hải quan làm thủ tục nhập khẩu, tạm nhập khẩu có trách nhiệm kiểm tra, đối chiếu thông tin trên giấy phép với thực tế hàng hóa, chỉ thông quan khi có giấy chứng nhận chất lượng an toàn kỹ thuật và bảo vệ môi trường xe cơ giới nhập khẩu (đối với xe ô tô) và giấy kiểm tra chất lượng xe gắn máy nhập khẩu của cơ quan kiểm tra chất lượng.</w:t>
      </w:r>
    </w:p>
    <w:p>
      <w:pPr>
        <w:spacing w:after="0" w:before="0" w:lineRule="auto" w:line="276"/>
        <w:jc w:val="both"/>
      </w:pPr>
      <w:r>
        <w:rPr>
          <w:rFonts w:ascii="Times New Roman" w:hAnsi="Times New Roman" w:cs="Times New Roman" w:eastAsia="Times New Roman"/>
          <w:b w:val="false"/>
          <w:sz w:val="26"/>
        </w:rPr>
        <w:t>Bước 3: Chi cục Hải quan thực hiện thông quan đối với xe ô tô, xe gắn máy, trả cho người nhập khẩu, tạm nhập khẩu 01 giấy phép nhập khẩu, tạm nhập khẩu xe, 01 tờ khai nhập khẩu, tạm nhập khẩu đã hoàn thành thủ tục hải quan (đối với trường hợp thực hiện khai trên tờ khai hải quan giấy) hoặc 01 tờ khai in từ hệ thống (đối với trường hợp thực hiện thủ tục hải quan điện tử) có xác nhận, đóng dấu đã hoàn thành thủ tục hải quan của Chi cục Hải quan nơi làm thủ tục nhập khẩu, tạm nhập khẩu để làm các thủ tục đăng ký lưu hành xe theo quy định, trường hợp thực hiện khai trên tờ khai hải quan giấy và cơ quan Hải quan chưa tra cứu được tờ khai nhập khẩu trên hệ thống thì trả thêm cho người nhập khẩu, tạm nhập khẩu 01 bản sao tờ khai có xác nhận của Chi cục Hải quan hải quan nơi làm thủ tục nhập khẩu và đóng dấu “dùng cho tái xuất hoặc chuyển nhượng”, 01 bản sao phiếu ghi kết quả kiểm tra theo mẫu ban hành kèm theo Thông tư số 38/2015/TT-BTC,</w:t>
      </w:r>
    </w:p>
    <w:p>
      <w:pPr>
        <w:spacing w:after="0" w:before="0" w:lineRule="auto" w:line="276"/>
        <w:jc w:val="both"/>
      </w:pPr>
      <w:r>
        <w:rPr>
          <w:rFonts w:ascii="Times New Roman" w:hAnsi="Times New Roman" w:cs="Times New Roman" w:eastAsia="Times New Roman"/>
          <w:b w:val="false"/>
          <w:sz w:val="26"/>
        </w:rPr>
        <w:t>Bước 4: Chi cục làm thủ tục nhập khẩu, tạm nhập khẩu xác nhận và sao gửi tờ khai hàng hóa nhập khẩu, tạm nhập khẩu cho Cục Hải quan tỉnh, thành phố nơi cấp giấy phép nhập khẩu, tạm nhập khẩu trong vòng 05 (năm) ngày làm việc kể từ ngày kết thúc thủ tục thông quan để theo dõi và cập nhật đầy đủ dữ liệu thông tin về tờ khai nhập khẩu, tạm nhập khẩu xe ô tô, xe gắn máy.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quy định tại Điều 18 Luật Hải quan:  + Tiếp nhận, đăng ký, kiểm tra hồ sơ hải quan ngay sau khi người khai hải quan nộp, xuất trình;  + Hoàn thành kiểm tra hồ sơ chậm nhất là 02 giờ làm việc kể từ thời điểm cơ quan hải quan tiếp nhận đầy đủ hồ sơ hải quan;  + Hoàn thành kiểm tra thực tế hàng hóa chậm nhất là 08 giờ làm việc kể từ thời điểm người khai hải quan xuất trình đầy đủ hàng hóa cho cơ quan hải quan, trường hợp được gia hạn thì thời gian tối đa không quá 02 ngày.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phép nhập khẩu, tạm nhập khẩu xe ô tô, xe gắn máy:</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Vận tải đơn hoặc các chứng từ vận tải khác có giá trị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đăng ký kiểm tra chất lượng an toàn kỹ thuật và bảo vệ môi trường xe cơ giới nhập khẩu (đối với ô tô):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đăng ký kiểm tra chất lượng xe gắn máy nhập khẩu (đối với xe gắn máy):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ủy quyền của đối tượng quy định tại khoản 1, 2, 3 và 4 Điều 2 Thông tư này ủy quyền cho tổ chức, cá nhân khác tại Việt Nam làm thủ tục nhập khẩu, tạm nhập khẩu xe (nếu có):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hàng hóa nhập khẩu theo các chỉ tiêu thông tin tại Mẫu số 01 - Tờ khai hàng hóa nhập khẩu Phụ lục I ban hành kèm theo Thông tư số 39/2018/TT-BTC ngày 20 tháng 4 năm 2018 của Bộ trưởng Bộ Tài chính. Trường hợp thực hiện trên tờ khai hải quan giấy theo quy định tại khoản 12 Điều 1 Nghị định số 59/2018/NĐ-CP ngày 20 tháng 4 năm 2018 của Chính phủ, người khai hải quan khai và nộp 03 bản chính tờ khai hải quan theo mẫu HQ/2015/NK Phụ lục IV ban hành kèm Thông tư số 38/2015/TT-BTC ngày 25 tháng 3 năm 2015 của Bộ trưởng Bộ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Tờ khai nhập khẩu, tạm nhập khẩu đã hoàn thành thủ tục hải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Nghị định 20187/2013/NĐ-CP11/2013</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143/2015/TT-BTC</w:t>
            </w:r>
          </w:p>
        </w:tc>
        <w:tc>
          <w:p/>
          <w:p>
            <w:pPr>
              <w:spacing w:after="0" w:before="0" w:lineRule="auto" w:line="276"/>
              <w:jc w:val="left"/>
            </w:pPr>
            <w:r>
              <w:rPr>
                <w:rFonts w:ascii="Times New Roman" w:hAnsi="Times New Roman" w:cs="Times New Roman" w:eastAsia="Times New Roman"/>
                <w:b w:val="false"/>
                <w:sz w:val="26"/>
              </w:rPr>
              <w:t>Thông tư 143/2015/TT-BTC</w:t>
            </w:r>
          </w:p>
        </w:tc>
        <w:tc>
          <w:p/>
          <w:p>
            <w:pPr>
              <w:spacing w:after="0" w:before="0" w:lineRule="auto" w:line="276"/>
              <w:jc w:val="left"/>
            </w:pPr>
            <w:r>
              <w:rPr>
                <w:rFonts w:ascii="Times New Roman" w:hAnsi="Times New Roman" w:cs="Times New Roman" w:eastAsia="Times New Roman"/>
                <w:b w:val="false"/>
                <w:sz w:val="26"/>
              </w:rPr>
              <w:t>11-09-2015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32/2014/TT-BTC</w:t>
            </w:r>
          </w:p>
        </w:tc>
        <w:tc>
          <w:p/>
          <w:p>
            <w:pPr>
              <w:spacing w:after="0" w:before="0" w:lineRule="auto" w:line="276"/>
              <w:jc w:val="left"/>
            </w:pPr>
            <w:r>
              <w:rPr>
                <w:rFonts w:ascii="Times New Roman" w:hAnsi="Times New Roman" w:cs="Times New Roman" w:eastAsia="Times New Roman"/>
                <w:b w:val="false"/>
                <w:sz w:val="26"/>
              </w:rPr>
              <w:t>Thông tư 32/2014/TT-BTC</w:t>
            </w:r>
          </w:p>
        </w:tc>
        <w:tc>
          <w:p/>
          <w:p>
            <w:pPr>
              <w:spacing w:after="0" w:before="0" w:lineRule="auto" w:line="276"/>
              <w:jc w:val="left"/>
            </w:pPr>
            <w:r>
              <w:rPr>
                <w:rFonts w:ascii="Times New Roman" w:hAnsi="Times New Roman" w:cs="Times New Roman" w:eastAsia="Times New Roman"/>
                <w:b w:val="false"/>
                <w:sz w:val="26"/>
              </w:rPr>
              <w:t>11-03-2014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45/2022/TT-BTC</w:t>
            </w:r>
          </w:p>
        </w:tc>
        <w:tc>
          <w:p/>
          <w:p>
            <w:pPr>
              <w:spacing w:after="0" w:before="0" w:lineRule="auto" w:line="276"/>
              <w:jc w:val="left"/>
            </w:pPr>
            <w:r>
              <w:rPr>
                <w:rFonts w:ascii="Times New Roman" w:hAnsi="Times New Roman" w:cs="Times New Roman" w:eastAsia="Times New Roman"/>
                <w:b w:val="false"/>
                <w:sz w:val="26"/>
              </w:rPr>
              <w:t>Thông tư 45/2022/TT-BTC</w:t>
            </w:r>
          </w:p>
        </w:tc>
        <w:tc>
          <w:p/>
          <w:p>
            <w:pPr>
              <w:spacing w:after="0" w:before="0" w:lineRule="auto" w:line="276"/>
              <w:jc w:val="left"/>
            </w:pPr>
            <w:r>
              <w:rPr>
                <w:rFonts w:ascii="Times New Roman" w:hAnsi="Times New Roman" w:cs="Times New Roman" w:eastAsia="Times New Roman"/>
                <w:b w:val="false"/>
                <w:sz w:val="26"/>
              </w:rPr>
              <w:t>27-07-2022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Đối với xe ô tô: thực hiện theo quy định của pháp luật hiện hành đối với xe ô tô đã qua sử dụng hoặc xe ô tô chưa qua sử dụng.
+ Đối với xe gắn máy: là xe chưa qua sử dụng, đảm bảo quy chuẩn kỹ thuật quốc gia về chất lượng an toàn kỹ thuật và bảo vệ môi trường đối với xe mô tô, xe gắn máy (QCVN14: 2011/BGTVT), thuộc loại được phép đăng ký, lưu hành tại Việt Nam (trừ trường hợp nhập khẩu, tạm nhập khẩu không đăng ký, lưu hành để làm mẫu, trưng bày, giới thiệu sản phẩm, triển lãm, nghiên cứu, thử nghiệm).
+ Đối tượng quy định tại khoản 4 Điều 2 Thông tư số 143/2015/TT-BTC nếu nhập khẩu theo hình thức quà biếu, quà tặng thì trong 01 (một) năm, mỗi tổ chức, cá nhân Việt Nam chỉ được nhập khẩu 01 xe ô tô và 01 xe gắn máy do tổ chức, cá nhân nước ngoài biếu, tặng.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2025-11-27T15:56:58Z</dcterms:created>
  <dc:creator>Apache POI</dc:creator>
</cp:coreProperties>
</file>