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1.000131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323/QĐ-BNV</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đủ điều kiện hoạt động kiểm định kỹ thuật an toàn lao động đối với trường hợp Giấy chứng nhận bị mất, hỏng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An toàn, vệ sinh lao động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Tiếp nhận hồ sơ đề nghị cấp lại Giấy chứng nhận đủ điều kiện hoạt động kiểm định kỹ thuật an toàn lao động
Tổ chức có nhu cầu cấp lại Giấy chứng nhận gửi 01 bộ hồ sơ đề nghị cấp lại Giấy chứng nhận đủ điều kiện hoạt động kiểm định kỹ thuật an toàn lao động đến Cục Việc làm, Bộ Nội vụ.
- Bước 2: Thẩm định 
Cơ quan tiếp nhận thẩm định điều kiện cấp trên hồ sơ.
- Bước 3: Cấp Giấy chứng nhận hoặc từ chối cấp
Không quá 30 ngày từ khi nhận được hồ sơ đầy đủ, hợp lệ, Cục trưởng Cục Việc làm sẽ ký thừa ủy quyền Bộ trưởng đối với các Giấy chứng nhận đủ điều kiện hoạt động kiểm định. Trường hợp không cấp Giấy chứng nhận, Cục trưởng Cục Việc làm sẽ ký thừa ủy quyền Bộ trưởng đối với công văn từ chối và nêu rõ lý do không cấp Giấy chứng nhận cho tổ chức đề nghị.</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Không quá 30 ngày làm việc (kể từ khi nhận được hồ sơ đầy đủ,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Không quá 30 ngày làm việc (kể từ khi nhận được hồ sơ đầy đủ,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Không quá 30 ngày làm việc (kể từ khi nhận được hồ sơ đầy đủ,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lại Giấy chứng nhận (01 bản);</w:t>
            </w:r>
          </w:p>
        </w:tc>
        <w:tc>
          <w:p/>
          <w:p>
            <w:pPr>
              <w:spacing w:after="0" w:before="0" w:lineRule="auto" w:line="276"/>
              <w:jc w:val="left"/>
            </w:pPr>
            <w:r>
              <w:rPr>
                <w:rFonts w:ascii="Times New Roman" w:hAnsi="Times New Roman" w:cs="Times New Roman" w:eastAsia="Times New Roman"/>
                <w:b w:val="false"/>
                <w:sz w:val="26"/>
              </w:rPr>
              <w:t>4.Mus02PhlcIIbanhnhkmtheoNghnhs42023.docx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đã được cấp trong trường hợp bị hỏng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Nội vụ</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hoạt động kiểm định kỹ thuật an toàn lao động hoặc công văn thông báo lý do không cấp lại Giấy chứng nhận đủ điều kiện hoạt động (trong đó có nêu rõ lý do từ chối)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84/2015/QH13</w:t>
            </w:r>
          </w:p>
        </w:tc>
        <w:tc>
          <w:p/>
          <w:p>
            <w:pPr>
              <w:spacing w:after="0" w:before="0" w:lineRule="auto" w:line="276"/>
              <w:jc w:val="left"/>
            </w:pPr>
            <w:r>
              <w:rPr>
                <w:rFonts w:ascii="Times New Roman" w:hAnsi="Times New Roman" w:cs="Times New Roman" w:eastAsia="Times New Roman"/>
                <w:b w:val="false"/>
                <w:sz w:val="26"/>
              </w:rPr>
              <w:t>LUẬT  An toàn, vệ sinh lao động</w:t>
            </w:r>
          </w:p>
        </w:tc>
        <w:tc>
          <w:p/>
          <w:p>
            <w:pPr>
              <w:spacing w:after="0" w:before="0" w:lineRule="auto" w:line="276"/>
              <w:jc w:val="left"/>
            </w:pPr>
            <w:r>
              <w:rPr>
                <w:rFonts w:ascii="Times New Roman" w:hAnsi="Times New Roman" w:cs="Times New Roman" w:eastAsia="Times New Roman"/>
                <w:b w:val="false"/>
                <w:sz w:val="26"/>
              </w:rPr>
              <w:t>25-06-2015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44/2016/NĐ-CP</w:t>
            </w:r>
          </w:p>
        </w:tc>
        <w:tc>
          <w:p/>
          <w:p>
            <w:pPr>
              <w:spacing w:after="0" w:before="0" w:lineRule="auto" w:line="276"/>
              <w:jc w:val="left"/>
            </w:pPr>
            <w:r>
              <w:rPr>
                <w:rFonts w:ascii="Times New Roman" w:hAnsi="Times New Roman" w:cs="Times New Roman" w:eastAsia="Times New Roman"/>
                <w:b w:val="false"/>
                <w:sz w:val="26"/>
              </w:rPr>
              <w:t>NGHỊ ĐỊNH  QUY ĐỊNH CHI TIẾT MỘT SỐ ĐIỀU CỦA LUẬT AN TOÀN, VỆ SINH LAO ĐỘNG VỀ HOẠT ĐỘNG KIỂM ĐỊNH KỸ THUẬT AN TOÀN LAO ĐỘNG, HUẤN LUYỆN AN TOÀN, VỆ SINH LAO ĐỘNG VÀ QUAN TRẮC MÔI TRƯỜNG LAO ĐỘNG</w:t>
            </w:r>
          </w:p>
        </w:tc>
        <w:tc>
          <w:p/>
          <w:p>
            <w:pPr>
              <w:spacing w:after="0" w:before="0" w:lineRule="auto" w:line="276"/>
              <w:jc w:val="left"/>
            </w:pPr>
            <w:r>
              <w:rPr>
                <w:rFonts w:ascii="Times New Roman" w:hAnsi="Times New Roman" w:cs="Times New Roman" w:eastAsia="Times New Roman"/>
                <w:b w:val="false"/>
                <w:sz w:val="26"/>
              </w:rPr>
              <w:t>15-05-2016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140/2018/NĐ-CP</w:t>
            </w:r>
          </w:p>
        </w:tc>
        <w:tc>
          <w:p/>
          <w:p>
            <w:pPr>
              <w:spacing w:after="0" w:before="0" w:lineRule="auto" w:line="276"/>
              <w:jc w:val="left"/>
            </w:pPr>
            <w:r>
              <w:rPr>
                <w:rFonts w:ascii="Times New Roman" w:hAnsi="Times New Roman" w:cs="Times New Roman" w:eastAsia="Times New Roman"/>
                <w:b w:val="false"/>
                <w:sz w:val="26"/>
              </w:rPr>
              <w:t>NGHỊ ĐỊNH  SỬA ĐỔI, BỔ SUNG CÁC NGHỊ ĐỊNH LIÊN QUAN ĐẾN ĐIỀU KIỆN ĐẦU TƯ KINH DOANH VÀ THỦ TỤC HÀNH CHÍNH THUỘC PHẠM VI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08-10-2018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190/2025/NQ-QH15</w:t>
            </w:r>
          </w:p>
        </w:tc>
        <w:tc>
          <w:p/>
          <w:p>
            <w:pPr>
              <w:spacing w:after="0" w:before="0" w:lineRule="auto" w:line="276"/>
              <w:jc w:val="left"/>
            </w:pPr>
            <w:r>
              <w:rPr>
                <w:rFonts w:ascii="Times New Roman" w:hAnsi="Times New Roman" w:cs="Times New Roman" w:eastAsia="Times New Roman"/>
                <w:b w:val="false"/>
                <w:sz w:val="26"/>
              </w:rPr>
              <w:t>Nghị quyết số 190/2025/QH15 của Quốc hội: Quy định về xử lý một số vấn đề liên quan đến sắp xếp tổ chức bộ máy nhà nước</w:t>
            </w:r>
          </w:p>
        </w:tc>
        <w:tc>
          <w:p/>
          <w:p>
            <w:pPr>
              <w:spacing w:after="0" w:before="0" w:lineRule="auto" w:line="276"/>
              <w:jc w:val="left"/>
            </w:pPr>
            <w:r>
              <w:rPr>
                <w:rFonts w:ascii="Times New Roman" w:hAnsi="Times New Roman" w:cs="Times New Roman" w:eastAsia="Times New Roman"/>
                <w:b w:val="false"/>
                <w:sz w:val="26"/>
              </w:rPr>
              <w:t>19-02-2025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4/2023/NĐ-CP</w:t>
            </w:r>
          </w:p>
        </w:tc>
        <w:tc>
          <w:p/>
          <w:p>
            <w:pPr>
              <w:spacing w:after="0" w:before="0" w:lineRule="auto" w:line="276"/>
              <w:jc w:val="left"/>
            </w:pPr>
            <w:r>
              <w:rPr>
                <w:rFonts w:ascii="Times New Roman" w:hAnsi="Times New Roman" w:cs="Times New Roman" w:eastAsia="Times New Roman"/>
                <w:b w:val="false"/>
                <w:sz w:val="26"/>
              </w:rPr>
              <w:t>Sửa đổi, bổ sung một số điều của các Nghị định liên quan đến điều kiện đầu tư kinh doanh và thủ tục hành chính thuộc phạm vi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13-02-2023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25/2025/NĐ-CP</w:t>
            </w:r>
          </w:p>
        </w:tc>
        <w:tc>
          <w:p/>
          <w:p>
            <w:pPr>
              <w:spacing w:after="0" w:before="0" w:lineRule="auto" w:line="276"/>
              <w:jc w:val="left"/>
            </w:pPr>
            <w:r>
              <w:rPr>
                <w:rFonts w:ascii="Times New Roman" w:hAnsi="Times New Roman" w:cs="Times New Roman" w:eastAsia="Times New Roman"/>
                <w:b w:val="false"/>
                <w:sz w:val="26"/>
              </w:rPr>
              <w:t>Nghị định số 25/2025/NĐ-CP ngày 21 tháng 02 năm 2025 của Chính phủ quy định chức năng, nhiệm vụ, quyền hạn và cơ cấu tổ chức của Bộ Nội vụ</w:t>
            </w:r>
          </w:p>
        </w:tc>
        <w:tc>
          <w:p/>
          <w:p>
            <w:pPr>
              <w:spacing w:after="0" w:before="0" w:lineRule="auto" w:line="276"/>
              <w:jc w:val="left"/>
            </w:pPr>
            <w:r>
              <w:rPr>
                <w:rFonts w:ascii="Times New Roman" w:hAnsi="Times New Roman" w:cs="Times New Roman" w:eastAsia="Times New Roman"/>
                <w:b w:val="false"/>
                <w:sz w:val="26"/>
              </w:rPr>
              <w:t>21-02-2025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2025-11-27T15:58:50Z</dcterms:created>
  <dc:creator>Apache POI</dc:creator>
</cp:coreProperties>
</file>