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323/QĐ-BNV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hoạt động kiểm định kỹ thuật an toàn lao động đối với trường hợp bổ sung, sửa đổi Giấy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đề nghị cấp lại Giấy chứng nhận đủ điều kiện hoạt động kiểm định kỹ thuật an toàn lao động
Tổ chức có nhu cầu cấp lại Giấy chứng nhận gửi 01 bộ hồ sơ đề nghị cấp lại Giấy chứng nhận đủ điều kiện hoạt động kiểm định kỹ thuật an toàn lao động đến Cục Việc làm, Bộ Nội vụ.
- Bước 2: Thẩm định 
Cơ quan tiếp nhận thẩm định điều kiện cấp trên hồ sơ và thẩm định trực tiếp tại tổ chức đề nghị.
- Bước 3: Cấp lại Giấy chứng nhận hoặc từ chối cấp
Không quá 30 ngày từ khi nhận được hồ sơ đầy đủ, hợp lệ, Cục trưởng Cục Việc làm sẽ ký thừa ủy quyền Bộ trưởng đối với các Giấy chứng nhận đủ điều kiện hoạt động kiểm định. Trường hợp không cấp Giấy chứng nhận, Cục trưởng Cục Việc làm sẽ ký thừa ủy quyền Bộ trưởng đối với công văn từ chối và nêu rõ lý do không cấp Giấy chứng nhận cho tổ chức đề nghị.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theo quy định tại Thông tư số 245/2016/TT-BTC ngày 11/11/2016 của Bộ Tài chính; Thông tư số 110/2017/TT-BTC ngày 20/10/2017 của Bộ trưởng Bộ Tài chính ban hành Thông tư sửa đổi, bổ sung Biểu mức thu phí thẩm định điều kiện kinh doanh trong hoạt động kiểm định kỹ thuật an toàn lao động; huấn luyện an toàn, vệ sinh lao động ban hành kèm theo Thông tư số 245/2016/TT-BTC ngày 11 tháng 11 năm 2016 của Bộ trưởng Bộ Tài chính quy định mức thu, chế độ thu, nộp, quản lý và sử dụng phí thẩm định điều kiện kinh doanh trong hoạt động kiểm định kỹ thuật an toàn lao động; huấn luyện an toàn, vệ sinh lao động; Thông 44/2023/TT-BTC ngày 29/6/2023 của Bộ Tài chính quy định một số mức thu khoản phí, lệ phí nhằm hỗ trợ người dân và doanh nghiệp. Đồng</w:t>
            </w:r>
          </w:p>
        </w:tc>
        <w:tc>
          <w:p/>
          <w:p>
            <w:pPr>
              <w:spacing w:after="0" w:before="0" w:lineRule="auto" w:line="276"/>
              <w:jc w:val="left"/>
            </w:pPr>
            <w:r>
              <w:rPr>
                <w:rFonts w:ascii="Times New Roman" w:hAnsi="Times New Roman" w:cs="Times New Roman" w:eastAsia="Times New Roman"/>
                <w:b w:val="false"/>
                <w:sz w:val="26"/>
              </w:rPr>
              <w:t>Không quá 30 ngày làm việc (kể từ khi nhận được hồ sơ đầy đủ,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bổ sung, sửa đổi Giấy chứng nhận (01 bản);</w:t>
            </w:r>
          </w:p>
        </w:tc>
        <w:tc>
          <w:p/>
          <w:p>
            <w:pPr>
              <w:spacing w:after="0" w:before="0" w:lineRule="auto" w:line="276"/>
              <w:jc w:val="left"/>
            </w:pPr>
            <w:r>
              <w:rPr>
                <w:rFonts w:ascii="Times New Roman" w:hAnsi="Times New Roman" w:cs="Times New Roman" w:eastAsia="Times New Roman"/>
                <w:b w:val="false"/>
                <w:sz w:val="26"/>
              </w:rPr>
              <w:t>13.Mus01PhlcIIbanhnhkmtheoNghnhs42023.docx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 (01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thay đổi về điều kiện cấp Giấy chứng nhận (mỗi loại 1 bản).</w:t>
            </w:r>
          </w:p>
        </w:tc>
        <w:tc>
          <w:p/>
          <w:p>
            <w:pPr>
              <w:spacing w:after="0" w:before="0" w:lineRule="auto" w:line="276"/>
              <w:jc w:val="left"/>
            </w:pPr>
            <w:r>
              <w:rPr>
                <w:rFonts w:ascii="Times New Roman" w:hAnsi="Times New Roman" w:cs="Times New Roman" w:eastAsia="Times New Roman"/>
                <w:b w:val="false"/>
                <w:sz w:val="26"/>
              </w:rPr>
              <w:t>123.Mus06PhlcIabanhnhkmtheoNghnh1402018.docx</w:t>
            </w:r>
          </w:p>
          <w:p>
            <w:pPr>
              <w:spacing w:after="0" w:before="0" w:lineRule="auto" w:line="276"/>
              <w:jc w:val="left"/>
            </w:pPr>
            <w:r>
              <w:rPr>
                <w:rFonts w:ascii="Times New Roman" w:hAnsi="Times New Roman" w:cs="Times New Roman" w:eastAsia="Times New Roman"/>
                <w:b w:val="false"/>
                <w:sz w:val="26"/>
              </w:rPr>
              <w:t>123.Mus1aNghnhs442016.docx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Nội vụ</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 hoặc công văn thông báo lý do không cấp lại Giấy chứng nhận đủ điều kiện hoạt động (trong đó có nêu rõ lý do từ chối)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	</w:t>
            </w:r>
          </w:p>
        </w:tc>
        <w:tc>
          <w:p/>
          <w:p>
            <w:pPr>
              <w:spacing w:after="0" w:before="0" w:lineRule="auto" w:line="276"/>
              <w:jc w:val="left"/>
            </w:pPr>
            <w:r>
              <w:rPr>
                <w:rFonts w:ascii="Times New Roman" w:hAnsi="Times New Roman" w:cs="Times New Roman" w:eastAsia="Times New Roman"/>
                <w:b w:val="false"/>
                <w:sz w:val="26"/>
              </w:rPr>
              <w:t>LUẬT  An toàn, vệ sinh lao động</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AN TOÀN, VỆ SINH LAO ĐỘNG VỀ HOẠT ĐỘNG KIỂM ĐỊNH KỸ THUẬT AN TOÀN LAO ĐỘNG, HUẤN LUYỆN AN TOÀN, VỆ SINH LAO ĐỘNG VÀ QUAN TRẮC MÔI TRƯỜNG LAO ĐỘNG</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140/2018/NĐ-CP	</w:t>
            </w:r>
          </w:p>
        </w:tc>
        <w:tc>
          <w:p/>
          <w:p>
            <w:pPr>
              <w:spacing w:after="0" w:before="0" w:lineRule="auto" w:line="276"/>
              <w:jc w:val="left"/>
            </w:pPr>
            <w:r>
              <w:rPr>
                <w:rFonts w:ascii="Times New Roman" w:hAnsi="Times New Roman" w:cs="Times New Roman" w:eastAsia="Times New Roman"/>
                <w:b w:val="false"/>
                <w:sz w:val="26"/>
              </w:rPr>
              <w:t>NGHỊ ĐỊNH  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13-02-2023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điều kiện quy định tại khoản 1 Điều 1 Nghị định 140/2018/NĐ-CP ngày 08/10/2018 của Chính phủ, cụ thể: 
-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tại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tại các điểm a, b và c Khoản 1 Điều này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2025-11-27T15:59:02Z</dcterms:created>
  <dc:creator>Apache POI</dc:creator>
</cp:coreProperties>
</file>