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1.000138</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1650/QĐ-BGDĐT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Chia, tách, sáp nhập trường trung cấp, trung tâm giáo dục nghề nghiệp có vốn đầu tư nước ngoài</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Giáo dục nghề nghiệp (G07-LĐ06)</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Tổ chức, cá nhân đề nghị chia, tách, sáp nhập cơ sở giáo dục nghề nghiệp có vốn đầu tư nước ngoài lập hồ sơ theo quy định tại khoản 2 Điều 66 Phụ lục I kèm theo Nghị định 142/2025/NĐ-CP gửi trực tiếp hoặc qua cổng dịch vụ công trực tuyến hoặc bưu điện đến Sở Giáo dục và Đào tạo đối với trung tâm giáo dục nghề nghiệp, trường trung cấp;</w:t>
      </w:r>
    </w:p>
    <w:p>
      <w:pPr>
        <w:spacing w:after="0" w:before="0" w:lineRule="auto" w:line="276"/>
        <w:jc w:val="both"/>
      </w:pPr>
      <w:r>
        <w:rPr>
          <w:rFonts w:ascii="Times New Roman" w:hAnsi="Times New Roman" w:cs="Times New Roman" w:eastAsia="Times New Roman"/>
          <w:b w:val="false"/>
          <w:sz w:val="26"/>
        </w:rPr>
        <w:t>Trong thời hạn 10 ngày làm việc, kể từ ngày nhận đủ hồ sơ hợp lệ, Sở Giáo dục và Đào tạo thẩm tra hồ sơ và trình Chủ tịch Ủy ban nhân dân cấp tỉnh quyết định chia, tách, sáp nhập cơ sở giáo dục nghề nghiệp có vốn đầu tư nước ngoài theo Mẫu 2A Phụ lục IX kèm theo Nghị định 142/2025/NĐ-CP;
Trường hợp hồ sơ đề nghị không hợp lệ, trong thời hạn 03 ngày làm việc kể từ ngày nhận được hồ sơ, Sở Giáo dục và Đào tạo có văn bản trả lời tổ chức, cá nhân đề nghị chia, tách, sáp nhập cơ sở giáo dục nghề nghiệp có vốn đầu tư nước ngoài và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10 ngày làm việc, kể từ ngày nhận đủ hồ sơ hợp lệ</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10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10 ngày làm việc, kể từ ngày nhận đủ hồ sơ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10 ngày làm việc, kể từ ngày nhận đủ hồ sơ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a) Văn bản đề nghị chia, tách, sáp nhập cơ sở giáo dục nghề nghiệp có vốn đầu tư nước ngoài của tổ chức, cá nhân sở hữu hoặc đại diện hợp pháp của những người góp vốn thành lập theo Mẫu 2C Phụ lục IX kèm theo Nghị định 142/2025/NĐ-CP;</w:t>
            </w:r>
          </w:p>
        </w:tc>
        <w:tc>
          <w:p/>
          <w:p>
            <w:pPr>
              <w:spacing w:after="0" w:before="0" w:lineRule="auto" w:line="276"/>
              <w:jc w:val="left"/>
            </w:pPr>
            <w:r>
              <w:rPr>
                <w:rFonts w:ascii="Times New Roman" w:hAnsi="Times New Roman" w:cs="Times New Roman" w:eastAsia="Times New Roman"/>
                <w:b w:val="false"/>
                <w:sz w:val="26"/>
              </w:rPr>
              <w:t>Mu2C_PL9.doc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c) Biên bản họp của các bên góp vốn hoặc liên doanh về việc chia, tách, sáp nhập cơ sở giáo dục nghề nghiệp có vốn đầu tư nước ngoài;</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d) Hợp đồng sáp nhập do người đại diện theo pháp luật của các cơ sở giáo dục nghề nghiệp có vốn đầu tư nước ngoài cùng ký kết. Hợp đồng phải có nội dung chủ yếu sau: Thông tin về cơ sở giáo dục nghề nghiệp sáp nhập, bị sáp nhập, thủ tục và điều kiện sáp nhập; phương án đối với người học, nhà giáo, cán bộ quản lý, nhân viên và người lao động; thời hạn, thủ tục và điều kiện chuyển đổi tài sản, chuyển đổi phần vốn góp của cơ sở giáo dục nghề nghiệp bị sáp nhập thành phần vốn góp của cơ sở giáo dục nghề nghiệp nhận sáp nhập; thời hạn thực hiện sáp nhập.</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Giáo dục và Đào tạo, Ủy ban nhân dân cấp tỉnh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Sở Giáo dục và Đào tạo</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cho phép chia, tách, sáp nhập trường trung cấp; trung tâm giáo dục nghề nghiệp có vốn đầu tư nước ngoài</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15/2019/NĐ-CP</w:t>
            </w:r>
          </w:p>
        </w:tc>
        <w:tc>
          <w:p/>
          <w:p>
            <w:pPr>
              <w:spacing w:after="0" w:before="0" w:lineRule="auto" w:line="276"/>
              <w:jc w:val="left"/>
            </w:pPr>
            <w:r>
              <w:rPr>
                <w:rFonts w:ascii="Times New Roman" w:hAnsi="Times New Roman" w:cs="Times New Roman" w:eastAsia="Times New Roman"/>
                <w:b w:val="false"/>
                <w:sz w:val="26"/>
              </w:rPr>
              <w:t>Quy định chi tiết một số điều và biện pháp thi hành Luật giáo dục nghề nghiệp</w:t>
            </w:r>
          </w:p>
        </w:tc>
        <w:tc>
          <w:p/>
          <w:p>
            <w:pPr>
              <w:spacing w:after="0" w:before="0" w:lineRule="auto" w:line="276"/>
              <w:jc w:val="left"/>
            </w:pPr>
            <w:r>
              <w:rPr>
                <w:rFonts w:ascii="Times New Roman" w:hAnsi="Times New Roman" w:cs="Times New Roman" w:eastAsia="Times New Roman"/>
                <w:b w:val="false"/>
                <w:sz w:val="26"/>
              </w:rPr>
              <w:t>01-02-2019</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	140/2018/NĐ-CP</w:t>
            </w:r>
          </w:p>
        </w:tc>
        <w:tc>
          <w:p/>
          <w:p>
            <w:pPr>
              <w:spacing w:after="0" w:before="0" w:lineRule="auto" w:line="276"/>
              <w:jc w:val="left"/>
            </w:pPr>
            <w:r>
              <w:rPr>
                <w:rFonts w:ascii="Times New Roman" w:hAnsi="Times New Roman" w:cs="Times New Roman" w:eastAsia="Times New Roman"/>
                <w:b w:val="false"/>
                <w:sz w:val="26"/>
              </w:rPr>
              <w:t>Sửa đổi, bổ sung các Nghị định liên quan đến điều kiện đầu tư kinh doanh và thủ tục hành chính thuộc phạm vi quản lý nhà nước của Bộ Lao động - Thương binh và Xã hội</w:t>
            </w:r>
          </w:p>
        </w:tc>
        <w:tc>
          <w:p/>
          <w:p>
            <w:pPr>
              <w:spacing w:after="0" w:before="0" w:lineRule="auto" w:line="276"/>
              <w:jc w:val="left"/>
            </w:pPr>
            <w:r>
              <w:rPr>
                <w:rFonts w:ascii="Times New Roman" w:hAnsi="Times New Roman" w:cs="Times New Roman" w:eastAsia="Times New Roman"/>
                <w:b w:val="false"/>
                <w:sz w:val="26"/>
              </w:rPr>
              <w:t>08-10-2018</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143/2016/NĐ-CP</w:t>
            </w:r>
          </w:p>
        </w:tc>
        <w:tc>
          <w:p/>
          <w:p>
            <w:pPr>
              <w:spacing w:after="0" w:before="0" w:lineRule="auto" w:line="276"/>
              <w:jc w:val="left"/>
            </w:pPr>
            <w:r>
              <w:rPr>
                <w:rFonts w:ascii="Times New Roman" w:hAnsi="Times New Roman" w:cs="Times New Roman" w:eastAsia="Times New Roman"/>
                <w:b w:val="false"/>
                <w:sz w:val="26"/>
              </w:rPr>
              <w:t>Quy định điều kiện đầu tư và hoạt động trong lĩnh vực giáo dục nghề nghiệp</w:t>
            </w:r>
          </w:p>
        </w:tc>
        <w:tc>
          <w:p/>
          <w:p>
            <w:pPr>
              <w:spacing w:after="0" w:before="0" w:lineRule="auto" w:line="276"/>
              <w:jc w:val="left"/>
            </w:pPr>
            <w:r>
              <w:rPr>
                <w:rFonts w:ascii="Times New Roman" w:hAnsi="Times New Roman" w:cs="Times New Roman" w:eastAsia="Times New Roman"/>
                <w:b w:val="false"/>
                <w:sz w:val="26"/>
              </w:rPr>
              <w:t>14-10-2016</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74/2014/QH13</w:t>
            </w:r>
          </w:p>
        </w:tc>
        <w:tc>
          <w:p/>
          <w:p>
            <w:pPr>
              <w:spacing w:after="0" w:before="0" w:lineRule="auto" w:line="276"/>
              <w:jc w:val="left"/>
            </w:pPr>
            <w:r>
              <w:rPr>
                <w:rFonts w:ascii="Times New Roman" w:hAnsi="Times New Roman" w:cs="Times New Roman" w:eastAsia="Times New Roman"/>
                <w:b w:val="false"/>
                <w:sz w:val="26"/>
              </w:rPr>
              <w:t>Luật Giáo dục nghề nghiệp</w:t>
            </w:r>
          </w:p>
        </w:tc>
        <w:tc>
          <w:p/>
          <w:p>
            <w:pPr>
              <w:spacing w:after="0" w:before="0" w:lineRule="auto" w:line="276"/>
              <w:jc w:val="left"/>
            </w:pPr>
            <w:r>
              <w:rPr>
                <w:rFonts w:ascii="Times New Roman" w:hAnsi="Times New Roman" w:cs="Times New Roman" w:eastAsia="Times New Roman"/>
                <w:b w:val="false"/>
                <w:sz w:val="26"/>
              </w:rPr>
              <w:t>27-11-2014</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24/2022/NĐ-CP</w:t>
            </w:r>
          </w:p>
        </w:tc>
        <w:tc>
          <w:p/>
          <w:p>
            <w:pPr>
              <w:spacing w:after="0" w:before="0" w:lineRule="auto" w:line="276"/>
              <w:jc w:val="left"/>
            </w:pPr>
            <w:r>
              <w:rPr>
                <w:rFonts w:ascii="Times New Roman" w:hAnsi="Times New Roman" w:cs="Times New Roman" w:eastAsia="Times New Roman"/>
                <w:b w:val="false"/>
                <w:sz w:val="26"/>
              </w:rPr>
              <w:t>SỬA ĐỔI, BỔ SUNG CÁC NGHỊ ĐỊNH QUY ĐỊNH VỀ ĐIỀU KIỆN ĐẦU TƯ VÀ HOẠT ĐỘNG TRONG LĨNH VỰC GIÁO DỤC NGHỀ NGHIỆP</w:t>
            </w:r>
          </w:p>
        </w:tc>
        <w:tc>
          <w:p/>
          <w:p>
            <w:pPr>
              <w:spacing w:after="0" w:before="0" w:lineRule="auto" w:line="276"/>
              <w:jc w:val="left"/>
            </w:pPr>
            <w:r>
              <w:rPr>
                <w:rFonts w:ascii="Times New Roman" w:hAnsi="Times New Roman" w:cs="Times New Roman" w:eastAsia="Times New Roman"/>
                <w:b w:val="false"/>
                <w:sz w:val="26"/>
              </w:rPr>
              <w:t>06-04-2022</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37/2025/NĐ-CP</w:t>
            </w:r>
          </w:p>
        </w:tc>
        <w:tc>
          <w:p/>
          <w:p>
            <w:pPr>
              <w:spacing w:after="0" w:before="0" w:lineRule="auto" w:line="276"/>
              <w:jc w:val="left"/>
            </w:pPr>
            <w:r>
              <w:rPr>
                <w:rFonts w:ascii="Times New Roman" w:hAnsi="Times New Roman" w:cs="Times New Roman" w:eastAsia="Times New Roman"/>
                <w:b w:val="false"/>
                <w:sz w:val="26"/>
              </w:rPr>
              <w:t>Nghị định quy định chức năng, nhiệm vụ, quyền hạn và cơ cấu tổ chức của Bộ Giáo dục và Đào tạo</w:t>
            </w:r>
          </w:p>
        </w:tc>
        <w:tc>
          <w:p/>
          <w:p>
            <w:pPr>
              <w:spacing w:after="0" w:before="0" w:lineRule="auto" w:line="276"/>
              <w:jc w:val="left"/>
            </w:pPr>
            <w:r>
              <w:rPr>
                <w:rFonts w:ascii="Times New Roman" w:hAnsi="Times New Roman" w:cs="Times New Roman" w:eastAsia="Times New Roman"/>
                <w:b w:val="false"/>
                <w:sz w:val="26"/>
              </w:rPr>
              <w:t>26-02-2025</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Nghị định số 142/2025/NĐ-CP</w:t>
            </w:r>
          </w:p>
        </w:tc>
        <w:tc>
          <w:p/>
          <w:p>
            <w:pPr>
              <w:spacing w:after="0" w:before="0" w:lineRule="auto" w:line="276"/>
              <w:jc w:val="left"/>
            </w:pPr>
            <w:r>
              <w:rPr>
                <w:rFonts w:ascii="Times New Roman" w:hAnsi="Times New Roman" w:cs="Times New Roman" w:eastAsia="Times New Roman"/>
                <w:b w:val="false"/>
                <w:sz w:val="26"/>
              </w:rPr>
              <w:t>Nghị định số 142/2025/NĐ-CP của Chính phủ: Quy định về phân định thẩm quyền của chính quyền địa phương hai cấp trong lĩnh vực quản lý nhà nước của Bộ Giáo dục và Đào tạo</w:t>
            </w:r>
          </w:p>
        </w:tc>
        <w:tc>
          <w:p/>
          <w:p>
            <w:pPr>
              <w:spacing w:after="0" w:before="0" w:lineRule="auto" w:line="276"/>
              <w:jc w:val="left"/>
            </w:pPr>
            <w:r>
              <w:rPr>
                <w:rFonts w:ascii="Times New Roman" w:hAnsi="Times New Roman" w:cs="Times New Roman" w:eastAsia="Times New Roman"/>
                <w:b w:val="false"/>
                <w:sz w:val="26"/>
              </w:rPr>
              <w:t>12-06-2025</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Việc chia, tách, sáp nhập trường trung cấp, trung tâm giáo dục nghề nghiệp có vốn đầu tư nước ngoài phải đảm bảo các nguyên tắc sau:
a) Phù hợp với quy hoạch mạng lưới cơ sở giáo dục nghề nghiệp đã được cơ quan quản lý nhà nước có thẩm quyền phê duyệt.
b) Bảo đảm quyền lợi của người học, giáo viên, giảng viên, cán bộ quản lý, nhân viên và người lao động.
c) Cơ sở giáo dục nghề nghiệp mới được hình thành sau quá trình chia, tách, sáp nhập phải đáp ứng đầy đủ các điều kiện quy định tại khoản 1 Điều 64 Phụ lục I kèm theo Nghị định 142/2025/NĐ-CP.</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https://thutuc.dichvucong.gov.vn/p/home/dvc-tthc-thu-tuc-hanh-chinh-chi-tiet.html?ma_thu_tuc=193</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2025-11-27T15:59:20Z</dcterms:created>
  <dc:creator>Apache POI</dc:creator>
</cp:coreProperties>
</file>