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mở và sử dụng tài khoản ngoại tệ ở nước ngoài để phục vụ việc thực hiện khoản vay nước ngoài của bên đi vay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hợp tác xã, liên hợp tác xã có nhu cầu mở và sử dụng tài khoản ngoại tệ ở nước ngoài để thực hiện khoản vay nước ngoài gửi hồ sơ đề nghị lên Ngân hàng Nhà nước Việt Nam.</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07 (bảy)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15 (mười lăm) ngày làm việc kể từ ngày nhận đủ hồ sơ hợp lệ, Ngân hàng Nhà nước Việt Nam xem xét cấp Giấy phép mở và sử dụng tài khoản ngoại tệ ở nước ngoài. Trong trường hợp từ chối cấp phép,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Ngân hàng Nhà nước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theo Phụ lục số 01;</w:t>
            </w:r>
          </w:p>
        </w:tc>
        <w:tc>
          <w:p/>
          <w:p>
            <w:pPr>
              <w:spacing w:after="0" w:before="0" w:lineRule="auto" w:line="276"/>
              <w:jc w:val="left"/>
            </w:pPr>
            <w:r>
              <w:rPr>
                <w:rFonts w:ascii="Times New Roman" w:hAnsi="Times New Roman" w:cs="Times New Roman" w:eastAsia="Times New Roman"/>
                <w:b w:val="false"/>
                <w:sz w:val="26"/>
              </w:rPr>
              <w:t>PL01.doc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 Giấy chứng nhận đăng ký đầu tư, Giấy phép thành lập và hoạt động hoặc các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thoả thuận vay nước ngoài bên đi vay nước ngoài đã ký với bên cho vay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hợp đồng hoặc thỏa thuận về tài khoản đã ký hoặc văn bản chứng minh bên cho vay nước ngoài yêu cầu bên đi vay nước ngoài phải mở tài khoản ngoại tệ ở nước ngoài trong trường hợp nội dung này không có trong hợp đồng hoặc thỏa thuận về tài khoản, trong đó quy định mục đích mở tài khoản, nội dung thu, chi trên tài khoản và thời hạn duy trì tài khoản;</w:t>
            </w:r>
          </w:p>
        </w:tc>
        <w:tc>
          <w:p/>
        </w:tc>
        <w:tc>
          <w:p/>
          <w:p>
            <w:pPr>
              <w:spacing w:after="0" w:before="0" w:lineRule="auto" w:line="276"/>
              <w:jc w:val="left"/>
            </w:pPr>
            <w:r>
              <w:rPr>
                <w:rFonts w:ascii="Times New Roman" w:hAnsi="Times New Roman" w:cs="Times New Roman" w:eastAsia="Times New Roman"/>
                <w:b w:val="false"/>
                <w:sz w:val="26"/>
              </w:rPr>
              <w:t xml:space="preserve">Bản chính: </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xác nhận đăng ký, đăng ký thay đổi khoản vay nước ngoài của Ngân hàng Nhà nước Khu vực áp dụng đối với trường hợp khoản vay nước ngoài thực hiện thủ tục đăng ký, đăng ký thay đổi tại Ngân hàng Nhà nước Khu vực.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mở và sử dụng tài khoản ngoại tệ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2025-11-27T15:49:07Z</dcterms:created>
  <dc:creator>Apache POI</dc:creator>
</cp:coreProperties>
</file>