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1.000145</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683/QĐ-BGDĐT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Cho phép thành lập trường cao đẳng tư thục hoạt động không vì lợi nhuận</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Giáo dục nghề nghiệp (G07-LĐ06)</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a) Bước 1: Tiếp nhận, kiểm tra sơ bộ hồ sơ cho phép thành lập trường cao đẳng tư thục hoạt động không vì lợi nhuận
- Tổ chức, cá nhân đề nghị cho phép thành lập trường cao đẳng tư thục hoạt động không vì lợi nhuận lập hồ sơ gửi Cục Giáo dục nghề nghiệp và Giáo dục thường xuyên ;
- Trong thời hạn 03 ngày làm việc kể từ ngày tiếp nhận hồ sơ, Cục Giáo dục nghề nghiệp và Giáo dục thường xuyên kiểm tra sơ bộ hồ sơ đề nghị cho phép thành lập trường cao đẳng tư thục hoạt động không vì lợi nhuận. Trường hợp hồ sơ hợp lệ, gửi Hội đồng thẩm định hồ sơ đề nghị cho phép thành lập trường cao đẳng tư thục hoạt động không vì lợi nhuận (sau đây gọi là Hội đồng thẩm định) để tổ chức thẩm định. 
Trường hợp hồ sơ không hợp lệ, có văn bản trả lời và nêu rõ lý do.
b) Bước 2: Thẩm định hồ sơ cho phép thành lập trường cao đẳng tư thục hoạt động không vì lợi nhuận
- Trong thời hạn 05 ngày làm việc kể từ ngày nhận được hồ sơ cho phép thành lập trường cao đẳng tư thục hoạt động không vì lợi nhuận do Cục Giáo dục nghề nghiệp và Giáo dục thường xuyên gửi tới, Hội đồng thẩm định tổ chức thẩm định;
- Căn cứ kết luận của Hội đồng thẩm định (công khai tại cuộc họp thẩm định), trong thời hạn 03 ngày làm việc kể từ ngày tổ chức thẩm định, Cục Giáo dục nghề nghiệp và Giáo dục thường xuyên có văn bản thông báo kết quả thẩm định cho tổ chức, cá nhân đề nghị cho phép thành lập trường cao đẳng tư thục hoạt động không vì lợi nhuận.
c) Bước 3: Quyết định cho phép thành lập trường cao đẳng tư thục hoạt động không vì lợi nhuận
- Trường hợp hồ sơ cho phép thành lập trường cao đẳng tư thục hoạt động không vì lợi nhuận đủ điều kiện theo kết luận của Hội đồng thẩm định, trong thời hạn 05 ngày làm việc kể từ ngày có kết luận thẩm định, Cục Giáo dục nghề nghiệp và Giáo dục thường xuyên trình Bộ trưởng Bộ Giáo dục và Đào tạo quyết định cho phép thành lập trường cao đẳng tư thục hoạt động không vì lợi nhuận theo Mẫu số 04 Phụ lục I ban hành kèm theo Nghị định số 143/2016/NĐ-CP (được sửa đổi, bổ sung tại Nghị định số 24/2022/NĐ-CP).
Trường hợp không cho phép thành lập thì có văn bản trả lời và nêu rõ lý do.
- Trường hợp hồ sơ cho phép thành lập trường cao đẳng tư thục hoạt động không vì lợi nhuận đủ điều kiện nhưng phải hoàn thiện theo kết luận của Hội đồng thẩm định, trong thời hạn 05 ngày làm việc kể từ ngày nhận được hồ sơ đã hoàn thiện, Cục Giáo dục nghề nghiệp và Giáo dục thường xuyên trình Bộ trưởng Bộ Giáo dục và Đào tạo quyết định cho phép thành lập trường cao đẳng tư thục hoạt động không vì lợi nhuận theo Mẫu số 04 Phụ lục I ban hành kèm theo Nghị định số 143/2016/NĐ-CP (được sửa đổi, bổ sung tại Nghị định số 24/2022/NĐ-CP).
Trường hợp không quyết định thành lập, không cho phép thành lập thì có văn bản trả lời và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16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Gửi hồ sơ qua cổng dịch vụ công trực tuyến hoặc qua dịch vụ bưu chính hoặc trực tiếp.</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16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Gửi hồ sơ qua cổng dịch vụ công trực tuyến hoặc qua dịch vụ bưu chính hoặc trực tiếp.</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16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Gửi hồ sơ qua cổng dịch vụ công trực tuyến hoặc qua dịch vụ bưu chính hoặc trực tiếp.</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 xml:space="preserve">Các giấy tờ theo quy định tại khoản 1 Điều 40 Nghị định số 15/2019/NĐ-CP, gồm: </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Văn bản cam kết của các tổ chức, cá nhân là chủ sở hữu nguồn vốn đầu tư cam kết việc sử dụng phần tài chính chênh lệch giữa thu và chi của trường trung cấp, trung tâm giáo dục nghề nghiệp tư thục theo quy định tại khoản 1 Điều 37 Nghị định số 15/2019/NĐ-CP ;</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Biên bản họp của tổ chức, cá nhân sở hữu hoặc những người góp vốn thành lập thông qua việc trường cao đẳng tư thục hoạt động không vì lợi nhuận. Biên bản này phải được sự đồng ý của đại diện tối thiểu 75% tổng số vốn góp của các thành viên góp vốn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Dự thảo Quy chế tổ chức và hoạt động của trường cao đẳng tư thục hoạt động không vì lợi nhuận</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Dự thảo Quy chế tài chính nội bộ của trường cao đẳng tư thục hoạt động không vì lợi nhuận</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bl>
    <w:p>
      <w:pPr>
        <w:shd w:val="clear" w:color="auto" w:fill="F2F6F9"/>
        <w:spacing w:after="0" w:before="120" w:lineRule="auto" w:line="276"/>
        <w:jc w:val="both"/>
      </w:pPr>
      <w:r>
        <w:rPr>
          <w:rFonts w:ascii="Times New Roman" w:hAnsi="Times New Roman" w:cs="Times New Roman" w:eastAsia="Times New Roman"/>
          <w:b w:val="true"/>
          <w:sz w:val="26"/>
        </w:rPr>
        <w:t xml:space="preserve">Hồ sơ đề nghị cho phép thành lập trường cao đẳng tư thục hoạt động không vì lợi nhuận theo quy định tại Điều 6 Nghị định số 143/2016/NĐ-CP (được sửa đổi, bổ sung tại Nghị định số 140/2018/NĐ-CP và Nghị định số 24/2022/NĐ-CP), gồm: </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Văn bản đề nghị cho phép thành lập theo Mẫu số 01 Phụ lục I ban hành kèm theo Nghị định số 143/2016/NĐ-CP (được sửa đổi, bổ sung tại Nghị định số 24/2022/NĐ-CP);</w:t>
            </w:r>
          </w:p>
        </w:tc>
        <w:tc>
          <w:p/>
          <w:p>
            <w:pPr>
              <w:spacing w:after="0" w:before="0" w:lineRule="auto" w:line="276"/>
              <w:jc w:val="left"/>
            </w:pPr>
            <w:r>
              <w:rPr>
                <w:rFonts w:ascii="Times New Roman" w:hAnsi="Times New Roman" w:cs="Times New Roman" w:eastAsia="Times New Roman"/>
                <w:b w:val="false"/>
                <w:sz w:val="26"/>
              </w:rPr>
              <w:t>Mau01PhulucIND24.docx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Văn bản chấp thuận của Ủy ban nhân dân cấp tỉnh nơi trường cao đẳng đặt trụ sở chính</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b) Đề án thành lập trường cao đẳng theo Mẫu số 02 Phụ lục I ban hành kèm theo Nghị định số 143/2016/NĐ-CP (được sửa đổi, bổ sung tại Nghị định số 24/2022/NĐ-CP).</w:t>
            </w:r>
          </w:p>
        </w:tc>
        <w:tc>
          <w:p/>
          <w:p>
            <w:pPr>
              <w:spacing w:after="0" w:before="0" w:lineRule="auto" w:line="276"/>
              <w:jc w:val="left"/>
            </w:pPr>
            <w:r>
              <w:rPr>
                <w:rFonts w:ascii="Times New Roman" w:hAnsi="Times New Roman" w:cs="Times New Roman" w:eastAsia="Times New Roman"/>
                <w:b w:val="false"/>
                <w:sz w:val="26"/>
              </w:rPr>
              <w:t>Mau 02 Phu luc I ND24.docx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Dự thảo quy hoạch tổng thể mặt bằng các công trình kiến trúc xây dựng, bảo đảm phù hợp với ngành, nghề, quy mô, trình độ đào tạo và tiêu chuẩn diện tích sử dụng, diện tích xây dựng cho hoạt động học tập và giảng dạy;</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Bản sao giấy chứng nhận quyền sử dụng đất hoặc quyết định giao đất, cho thuê đất để xây dựng cơ sở giáo dục nghề nghiệp của Ủy ban nhân dân cấp tỉnh kèm theo bản sao biên lai (nộp tiền sử dụng đất hoặc tiền thuê đất) hoặc minh chứng đã hoàn thành nghĩa vụ tài chính về đất đai theo quy định;</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Văn bản xác nhận khả năng tài chính để đầu tư xây dựng cơ sở giáo dục nghề nghiệp tư thục của cơ quan, tổ chức có thẩm quyền;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Bản sao giấy tờ chứng minh quyền sở hữu về tài sản kèm theo văn bản thẩm định giá tài sản góp vốn nếu góp vốn bằng tài sản.</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Đối với trường cao đẳng tư thục có từ 02 thành viên góp vốn trở lên, ngoài hồ sơ nêu trên, hồ sơ cần bổ sung: - Biên bản cử người đại diện đứng tên thành lập trường cao đẳng của các thành viên góp vốn; - Danh sách trích ngang các thành viên Ban sáng lập; - Danh sách, hình thức và biên bản góp vốn của các thành viên cam kết góp vốn thành lập; - Dự kiến Hội đồng quản trị và Chủ tịch Hội đồng quản trị của trường cao đẳng.</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Doanh nghiệp, 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Bộ Giáo dục và Đào tạo</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Bộ Giáo dục và Đào tạo</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Quyết định cho phép thành lập trường cao đẳng tư thục hoạt động không vì lợi nhuận</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74/2014/QH13</w:t>
            </w:r>
          </w:p>
        </w:tc>
        <w:tc>
          <w:p/>
          <w:p>
            <w:pPr>
              <w:spacing w:after="0" w:before="0" w:lineRule="auto" w:line="276"/>
              <w:jc w:val="left"/>
            </w:pPr>
            <w:r>
              <w:rPr>
                <w:rFonts w:ascii="Times New Roman" w:hAnsi="Times New Roman" w:cs="Times New Roman" w:eastAsia="Times New Roman"/>
                <w:b w:val="false"/>
                <w:sz w:val="26"/>
              </w:rPr>
              <w:t>Luật Giáo dục nghề nghiệp</w:t>
            </w:r>
          </w:p>
        </w:tc>
        <w:tc>
          <w:p/>
          <w:p>
            <w:pPr>
              <w:spacing w:after="0" w:before="0" w:lineRule="auto" w:line="276"/>
              <w:jc w:val="left"/>
            </w:pPr>
            <w:r>
              <w:rPr>
                <w:rFonts w:ascii="Times New Roman" w:hAnsi="Times New Roman" w:cs="Times New Roman" w:eastAsia="Times New Roman"/>
                <w:b w:val="false"/>
                <w:sz w:val="26"/>
              </w:rPr>
              <w:t>27-11-2014</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140/2018/NĐ-CP</w:t>
            </w:r>
          </w:p>
        </w:tc>
        <w:tc>
          <w:p/>
          <w:p>
            <w:pPr>
              <w:spacing w:after="0" w:before="0" w:lineRule="auto" w:line="276"/>
              <w:jc w:val="left"/>
            </w:pPr>
            <w:r>
              <w:rPr>
                <w:rFonts w:ascii="Times New Roman" w:hAnsi="Times New Roman" w:cs="Times New Roman" w:eastAsia="Times New Roman"/>
                <w:b w:val="false"/>
                <w:sz w:val="26"/>
              </w:rPr>
              <w:t>Nghị định 140/2018/NĐ-CP - Sửa đổi, bổ sung các Nghị định liên quan đến điều kiện đầu tư kinh doanh và thủ tục hành chính thuộc phạm vi quản lý nhà nước của Bộ Lao động - Thương binh và Xã hội</w:t>
            </w:r>
          </w:p>
        </w:tc>
        <w:tc>
          <w:p/>
          <w:p>
            <w:pPr>
              <w:spacing w:after="0" w:before="0" w:lineRule="auto" w:line="276"/>
              <w:jc w:val="left"/>
            </w:pPr>
            <w:r>
              <w:rPr>
                <w:rFonts w:ascii="Times New Roman" w:hAnsi="Times New Roman" w:cs="Times New Roman" w:eastAsia="Times New Roman"/>
                <w:b w:val="false"/>
                <w:sz w:val="26"/>
              </w:rPr>
              <w:t>08-10-2018</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143/2016/NĐ-CP</w:t>
            </w:r>
          </w:p>
        </w:tc>
        <w:tc>
          <w:p/>
          <w:p>
            <w:pPr>
              <w:spacing w:after="0" w:before="0" w:lineRule="auto" w:line="276"/>
              <w:jc w:val="left"/>
            </w:pPr>
            <w:r>
              <w:rPr>
                <w:rFonts w:ascii="Times New Roman" w:hAnsi="Times New Roman" w:cs="Times New Roman" w:eastAsia="Times New Roman"/>
                <w:b w:val="false"/>
                <w:sz w:val="26"/>
              </w:rPr>
              <w:t>Nghị định 143/2016/NĐ-CP</w:t>
            </w:r>
          </w:p>
        </w:tc>
        <w:tc>
          <w:p/>
          <w:p>
            <w:pPr>
              <w:spacing w:after="0" w:before="0" w:lineRule="auto" w:line="276"/>
              <w:jc w:val="left"/>
            </w:pPr>
            <w:r>
              <w:rPr>
                <w:rFonts w:ascii="Times New Roman" w:hAnsi="Times New Roman" w:cs="Times New Roman" w:eastAsia="Times New Roman"/>
                <w:b w:val="false"/>
                <w:sz w:val="26"/>
              </w:rPr>
              <w:t>14-10-2016</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15/2019/NĐ-CP</w:t>
            </w:r>
          </w:p>
        </w:tc>
        <w:tc>
          <w:p/>
          <w:p>
            <w:pPr>
              <w:spacing w:after="0" w:before="0" w:lineRule="auto" w:line="276"/>
              <w:jc w:val="left"/>
            </w:pPr>
            <w:r>
              <w:rPr>
                <w:rFonts w:ascii="Times New Roman" w:hAnsi="Times New Roman" w:cs="Times New Roman" w:eastAsia="Times New Roman"/>
                <w:b w:val="false"/>
                <w:sz w:val="26"/>
              </w:rPr>
              <w:t>Nghị định 15/2019/NĐ-CP</w:t>
            </w:r>
          </w:p>
        </w:tc>
        <w:tc>
          <w:p/>
          <w:p>
            <w:pPr>
              <w:spacing w:after="0" w:before="0" w:lineRule="auto" w:line="276"/>
              <w:jc w:val="left"/>
            </w:pPr>
            <w:r>
              <w:rPr>
                <w:rFonts w:ascii="Times New Roman" w:hAnsi="Times New Roman" w:cs="Times New Roman" w:eastAsia="Times New Roman"/>
                <w:b w:val="false"/>
                <w:sz w:val="26"/>
              </w:rPr>
              <w:t>01-02-2019</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24/2022/NĐ-CP</w:t>
            </w:r>
          </w:p>
        </w:tc>
        <w:tc>
          <w:p/>
          <w:p>
            <w:pPr>
              <w:spacing w:after="0" w:before="0" w:lineRule="auto" w:line="276"/>
              <w:jc w:val="left"/>
            </w:pPr>
            <w:r>
              <w:rPr>
                <w:rFonts w:ascii="Times New Roman" w:hAnsi="Times New Roman" w:cs="Times New Roman" w:eastAsia="Times New Roman"/>
                <w:b w:val="false"/>
                <w:sz w:val="26"/>
              </w:rPr>
              <w:t>SỬA ĐỔI, BỔ SUNG CÁC NGHỊ ĐỊNH QUY ĐỊNH VỀ ĐIỀU KIỆN ĐẦU TƯ VÀ HOẠT ĐỘNG TRONG LĨNH VỰC GIÁO DỤC NGHỀ NGHIỆP</w:t>
            </w:r>
          </w:p>
        </w:tc>
        <w:tc>
          <w:p/>
          <w:p>
            <w:pPr>
              <w:spacing w:after="0" w:before="0" w:lineRule="auto" w:line="276"/>
              <w:jc w:val="left"/>
            </w:pPr>
            <w:r>
              <w:rPr>
                <w:rFonts w:ascii="Times New Roman" w:hAnsi="Times New Roman" w:cs="Times New Roman" w:eastAsia="Times New Roman"/>
                <w:b w:val="false"/>
                <w:sz w:val="26"/>
              </w:rPr>
              <w:t>06-04-2022</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37/2025/NĐ-CP</w:t>
            </w:r>
          </w:p>
        </w:tc>
        <w:tc>
          <w:p/>
          <w:p>
            <w:pPr>
              <w:spacing w:after="0" w:before="0" w:lineRule="auto" w:line="276"/>
              <w:jc w:val="left"/>
            </w:pPr>
            <w:r>
              <w:rPr>
                <w:rFonts w:ascii="Times New Roman" w:hAnsi="Times New Roman" w:cs="Times New Roman" w:eastAsia="Times New Roman"/>
                <w:b w:val="false"/>
                <w:sz w:val="26"/>
              </w:rPr>
              <w:t>Nghị định quy định chức năng, nhiệm vụ, quyền hạn và cơ cấu tổ chức của Bộ Giáo dục và Đào tạo</w:t>
            </w:r>
          </w:p>
        </w:tc>
        <w:tc>
          <w:p/>
          <w:p>
            <w:pPr>
              <w:spacing w:after="0" w:before="0" w:lineRule="auto" w:line="276"/>
              <w:jc w:val="left"/>
            </w:pPr>
            <w:r>
              <w:rPr>
                <w:rFonts w:ascii="Times New Roman" w:hAnsi="Times New Roman" w:cs="Times New Roman" w:eastAsia="Times New Roman"/>
                <w:b w:val="false"/>
                <w:sz w:val="26"/>
              </w:rPr>
              <w:t>26-02-2025</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a) Phù hợp với quy hoạch mạng lưới cơ sở giáo dục nghề nghiệp Việt Nam. Đối với cơ sở giáo dục nghề nghiệp công lập khi thành lập phải hoạt động theo cơ chế tự chủ của đơn vị sự nghiệp công lập do Chính phủ quy định.
b) Có địa điểm xây dựng cơ sở vật chất bảo đảm diện tích đất sử dụng tối thiểu đối với trường cao đẳng là 20.000 m2 đối với khu vực đô thị hoặc 40.000 m2 đối với khu vực ngoài đô thị. Trường hợp địa điểm xây dựng cơ sở vật chất của trường cao đẳng vừa có diện tích đất sử dụng tại khu vực đô thị vừa có diện tích đất sử dụng tại khu vực ngoài đô thị thì thực hiện quy đổi diện tích đất theo tỷ lệ tương ứng giữa đất khu vực đô thị với đất khu vực ngoài đô thị là 1:2.
c) Vốn đầu tư thành lập được đầu tư bằng nguồn vốn hợp pháp, không bao gồm giá trị về đất đai tối thiểu là 100 tỷ đồng.
d) Chênh lệch giữa thu và chi từ hoạt động đào tạo nghề nghiệp, nghiên cứu khoa học hàng năm của trường cao đẳng tư thục hoạt động không vì lợi nhuận là tài sản sở hữu chung hợp nhất không phân chia, dùng để đầu tư phát triển cơ sở vật chất; phát triển đội ngũ nhà giáo và cán bộ quản lý; hoạt động nghiên cứu khoa học; cấp học bổng cho người học và sử dụng cho các mục tiêu phục vụ lợi ích cộng đồng khác.
đ) Có cam kết hoạt động không vì lợi nhuận với Bộ Giáo dục và Đào tạo. Cam kết được công bố công khai để xã hội biết và giám sát.
e) Tổ chức, cá nhân là chủ sở hữu nguồn vốn đầu tư không nhận lợi tức, hoặc nhận lợi tức nhưng không vượt quá lãi suất trái phiếu Chính phủ quy định trong cùng thời kỳ.</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https://thutuc.dichvucong.gov.vn/p/home/dvc-tthc-thu-tuc-hanh-chinh-chi-tiet.html?ma_thu_tuc=202</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2025-11-27T15:59:33Z</dcterms:created>
  <dc:creator>Apache POI</dc:creator>
</cp:coreProperties>
</file>