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phân hiệu của trường trung cấp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trung cấp có vốn đầu tư nước ngoài gửi hồ sơ đề nghị cho phép thành lập phân hiệu qua cổng dịch vụ công trực tuyến hoặc bưu chính hoặc trực tiếp đến Sở Giáo dục và Đào tạo.</w:t>
      </w:r>
    </w:p>
    <w:p>
      <w:pPr>
        <w:spacing w:after="0" w:before="0" w:lineRule="auto" w:line="276"/>
        <w:jc w:val="both"/>
      </w:pPr>
      <w:r>
        <w:rPr>
          <w:rFonts w:ascii="Times New Roman" w:hAnsi="Times New Roman" w:cs="Times New Roman" w:eastAsia="Times New Roman"/>
          <w:b w:val="false"/>
          <w:sz w:val="26"/>
        </w:rPr>
        <w:t>b) Trong thời hạn 07 ngày làm việc kể từ ngày tiếp nhận hồ sơ, Sở Giáo dục và Đào tạo tổ chức thẩm định hồ sơ cho phép thành lập phân hiệu của trường trung cấp có vốn đầu tư nước ngoài và trình Chủ tịch Ủy ban nhân dân tỉnh quyết định cho phép thành lập phân hiệu của trường trung cấp có vốn đầu tư nước ngoài theo Mẫu 1C Phụ lục IX kèm theo Nghị định 142/2025/NĐ-CP. 
Trường hợp hồ sơ không hợp lệ hoặc không quyết định cho phép thành lập phân hiệu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tiếp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tiếp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cho phép thành lập theo Mẫu 1A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Mu1A_PL9.doc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thành lập theo theo Mẫu 1A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Mu1B_PL9.doc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các giấy tờ pháp lý chứng minh cơ sở vật chất và năng lực tài chính theo quy định tại khoản 1 Điều 65 Phụ lục I kèm theo Nghị định 142/2025/NĐ-CP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Quyết định cho phép thành lập phân hiệu của trường trung cấp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địa điểm xây dựng cơ sở vật chất và vốn đầu tư cho phép thành lập phân hiệu của trường trung cấp có vốn đầu tư nước ngoài tối thiểu bằng 25% diện tích đất sử dụng tối thiểu và vốn đầu tư cho phép thành lập trường cao đẳng có vốn đầu tư nước ngoài quy định tại điểm c, d khoản 1 Điều 64 Phụ lục I kèm theo Nghị định 142/2025/NĐ-CP .
b) Địa điểm phân hiệu đặt ở tỉnh, thành phố trực thuộc trung ương khác với nơi đặt trụ sở chính của trường trung cấp có vốn đầu tư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2025-11-27T15:59:46Z</dcterms:created>
  <dc:creator>Apache POI</dc:creator>
</cp:coreProperties>
</file>