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để đáp ứng các điều kiện xin cấp phép thành lập và hoạt động cho chi nhánh, văn phòng đại diện ở nước ngoài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có nhu cầu mở và sử dụng tài khoản ngoại tệ ở nước ngoài để đáp ứng các điều kiện xin cấp phép thành lập và hoạt động cho chi nhánh, văn phòng đại diện ở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w:t>
            </w:r>
          </w:p>
        </w:tc>
        <w:tc>
          <w:p/>
          <w:p>
            <w:pPr>
              <w:spacing w:after="0" w:before="0" w:lineRule="auto" w:line="276"/>
              <w:jc w:val="left"/>
            </w:pPr>
            <w:r>
              <w:rPr>
                <w:rFonts w:ascii="Times New Roman" w:hAnsi="Times New Roman" w:cs="Times New Roman" w:eastAsia="Times New Roman"/>
                <w:b w:val="false"/>
                <w:sz w:val="26"/>
              </w:rPr>
              <w:t>Phlcs01.doc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Giấy phép thành lập và hoạt động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tài liệu của bên nước ngoài chứng minh việc tổ chức kinh tế phải mở tài khoản tại nước sở tại để đáp ứng điều kiện xin cấp phép thành lập và hoạt động cho chi nhánh, văn phòng đại diện ở nước ngoài theo quy định của pháp luật nước sở tại.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cơ quan thẩm quyền của nước sở tại cho phép thành lập và hoạt động tạm thời cho chi nhánh, văn phòng đại diện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2025-11-27T16:02:00Z</dcterms:created>
  <dc:creator>Apache POI</dc:creator>
</cp:coreProperties>
</file>