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niêm yết cổ phiếu trên thị trường chứng khoán trong nước và nước ngoài của tổ chức tín dụng cổ phần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cổ phần lập 01 (một) bộ hồ sơ theo quy định gửi Ngân hàng Nhà nước (qua Cục Quản lý, giám sát tổ chức tín dụng).</w:t>
      </w:r>
    </w:p>
    <w:p>
      <w:pPr>
        <w:spacing w:after="0" w:before="0" w:lineRule="auto" w:line="276"/>
        <w:jc w:val="both"/>
      </w:pPr>
      <w:r>
        <w:rPr>
          <w:rFonts w:ascii="Times New Roman" w:hAnsi="Times New Roman" w:cs="Times New Roman" w:eastAsia="Times New Roman"/>
          <w:b w:val="false"/>
          <w:sz w:val="26"/>
        </w:rPr>
        <w:t>- Bước 2:
Trong thời hạn 40 (bốn mươi) ngày kể từ ngày nhận được đầy đủ hồ sơ theo quy định, Ngân hàng Nhà nước có văn bản chấp thuận hoặc không chấp thuận việc tổ chức tín dụng cổ phần niêm yết trên thị trường chứng khoán; trường hợp không chấp thuận, văn bản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làm việc kể từ ngày nhận đủ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làm việc kể từ ngày nhận đủ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tổ chức tín dụng cổ phần đề nghị Ngân hàng Nhà nước chấp thuận niêm yết trên thị trường chứng khoán (theo Phụ lục I) (Bản chính);</w:t>
            </w:r>
          </w:p>
        </w:tc>
        <w:tc>
          <w:p/>
          <w:p>
            <w:pPr>
              <w:spacing w:after="0" w:before="0" w:lineRule="auto" w:line="276"/>
              <w:jc w:val="left"/>
            </w:pPr>
            <w:r>
              <w:rPr>
                <w:rFonts w:ascii="Times New Roman" w:hAnsi="Times New Roman" w:cs="Times New Roman" w:eastAsia="Times New Roman"/>
                <w:b w:val="false"/>
                <w:sz w:val="26"/>
              </w:rPr>
              <w:t>Văn bản chấp thuận của NHNN đối với TCTDCP niêm yết cổ phiếu trên thị trường chứng khoán(Phụ lục 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đồng cổ đông thông qua việc niêm yết trên thị trường chứng khoán (Bản chính hoặc bản sao);</w:t>
            </w:r>
          </w:p>
        </w:tc>
        <w:tc>
          <w:p/>
          <w:p>
            <w:pPr>
              <w:spacing w:after="0" w:before="0" w:lineRule="auto" w:line="276"/>
              <w:jc w:val="left"/>
            </w:pPr>
            <w:r>
              <w:rPr>
                <w:rFonts w:ascii="Times New Roman" w:hAnsi="Times New Roman" w:cs="Times New Roman" w:eastAsia="Times New Roman"/>
                <w:b w:val="false"/>
                <w:sz w:val="26"/>
              </w:rPr>
              <w:t>PhlcI.doc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tài chính hợp nhất có kiểm toán và báo cáo tài chính riêng lẻ có kiểm toán của 02 (hai) năm liền kề trước năm đề nghị. Trường hợp năm liền kề năm đề nghị chưa có báo cáo tài chính có kiểm toán, tổ chức tín dụng cổ phần gửi kèm hồ sơ báo cáo kết quả hoạt động kinh doanh và bảng cân đối kế toán của năm này, đồng thời có văn bản cam kết bổ sung báo cáo tài chính sau khi có kết quả kiểm toán (Bản chính hoặc bản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ủy quyền được lập phù hợp với quy định của pháp luật (đối với trường hợp ủy quyền) (Bản chính hoặc bản sao).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niêm yết cổ phiếu trên thị trường chứng khoán trong nước và nước ngoài của tổ chức tín dụng cổ phần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29/2015/TT-NHNN</w:t>
            </w:r>
          </w:p>
        </w:tc>
        <w:tc>
          <w:p/>
          <w:p>
            <w:pPr>
              <w:spacing w:after="0" w:before="0" w:lineRule="auto" w:line="276"/>
              <w:jc w:val="left"/>
            </w:pPr>
            <w:r>
              <w:rPr>
                <w:rFonts w:ascii="Times New Roman" w:hAnsi="Times New Roman" w:cs="Times New Roman" w:eastAsia="Times New Roman"/>
                <w:b w:val="false"/>
                <w:sz w:val="26"/>
              </w:rPr>
              <w:t>Thông tư 29/2015/TT-NHNN</w:t>
            </w:r>
          </w:p>
        </w:tc>
        <w:tc>
          <w:p/>
          <w:p>
            <w:pPr>
              <w:spacing w:after="0" w:before="0" w:lineRule="auto" w:line="276"/>
              <w:jc w:val="left"/>
            </w:pPr>
            <w:r>
              <w:rPr>
                <w:rFonts w:ascii="Times New Roman" w:hAnsi="Times New Roman" w:cs="Times New Roman" w:eastAsia="Times New Roman"/>
                <w:b w:val="false"/>
                <w:sz w:val="26"/>
              </w:rPr>
              <w:t>22-12-2015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xml:space="preserve">26/2012/TT-NHNN </w:t>
            </w:r>
          </w:p>
        </w:tc>
        <w:tc>
          <w:p/>
          <w:p>
            <w:pPr>
              <w:spacing w:after="0" w:before="0" w:lineRule="auto" w:line="276"/>
              <w:jc w:val="left"/>
            </w:pPr>
            <w:r>
              <w:rPr>
                <w:rFonts w:ascii="Times New Roman" w:hAnsi="Times New Roman" w:cs="Times New Roman" w:eastAsia="Times New Roman"/>
                <w:b w:val="false"/>
                <w:sz w:val="26"/>
              </w:rPr>
              <w:t>Thông tư 26/2012/TT-NHNN</w:t>
            </w:r>
          </w:p>
        </w:tc>
        <w:tc>
          <w:p/>
          <w:p>
            <w:pPr>
              <w:spacing w:after="0" w:before="0" w:lineRule="auto" w:line="276"/>
              <w:jc w:val="left"/>
            </w:pPr>
            <w:r>
              <w:rPr>
                <w:rFonts w:ascii="Times New Roman" w:hAnsi="Times New Roman" w:cs="Times New Roman" w:eastAsia="Times New Roman"/>
                <w:b w:val="false"/>
                <w:sz w:val="26"/>
              </w:rPr>
              <w:t>13-09-2019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Có thời gian hoạt động tối thiểu là 02 (hai) năm tính đến thời điểm đề nghị.
2. Giá trị thực của vốn điều lệ đến thời điểm đề nghị không thấp hơn mức vốn pháp định theo quy định hiện hành.
3. Hoạt động kinh doanh có lãi trên cơ sở báo cáo tài chính hợp nhất có kiểm toán và báo cáo tài chính riêng lẻ có kiểm toán trong 02 (hai) năm liền kề trước năm đề nghị.
4. Tuân thủ các hạn chế để bảo đảm an toàn trong hoạt động của tổ chức tín dụng quy định tại Điều 129 và Khoản 1 Điều 130 Luật Các tổ chức tín dụng và các hướng dẫn của Ngân hàng Nhà nước đối với các quy định này liên tục trong trong thời gian 06 (sáu) tháng liền kề trước thời điểm đề nghị.
5. Tỷ lệ nợ xấu dưới 3% so với tổng dư nợ tại thời điểm cuối quý trong thời gian 02 (hai) quý liền kề trước quý đề nghị.
6. Thực hiện phân loại nợ và trích lập dự phòng rủi ro theo quy định của Ngân hàng Nhà nước tại thời điểm cuối quý liền kề trước quý đề nghị.  
7. Trong thời gian 12 (mười hai) tháng liền kề trước thời điểm đề nghị, tổ chức tín dụng cổ phần không bị xử phạt vi phạm hành chính trong lĩnh vực tiền tệ và ngân hàng dưới hình thức phạt tiền với tổng mức phạt từ 30 (ba mươi) triệu đồng trở lên.
8. Tại thời điểm đề nghị, Hội đồng quản trị, Ban kiểm soát của tổ chức tín dụng cổ phần có số lượng và cơ cấu đảm bảo quy định của pháp luật hiện hành.
9. Tại thời điểm đề nghị, tổ chức tín dụng cổ phần có bộ phận kiểm toán nội bộ và hệ thống kiểm soát nội bộ bảo đảm tuân thủ Điều 40, Điều 41 Luật Các tổ chức tín dụng và các quy định có liên quan của pháp luật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2025-11-27T16:04:12Z</dcterms:created>
  <dc:creator>Apache POI</dc:creator>
</cp:coreProperties>
</file>