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điểm đặt trụ sở chi nhánh ở trong nước, phòng giao dịch trong phạm vi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lập 01 bộ hồ sơ theo quy định gửi Ngân hàng Nhà nước Khu vực nơi đặt trụ sở chi nhánh, phòng giao dịch;
+ Bước 2: Trong thời hạn 10 ngày làm việc kể từ ngày nhận được đầy đủ hồ sơ theo quy định, Ngân hàng Nhà nước Khu vực nơi đặt trụ sở chi nhánh, phòng giao dịch có văn bản (bao gồm cả văn bản dạng điện tử) gửi ngân hàng thương mại chấp thuận hoặc không chấp thuận việc thay đổi địa điểm đặt trụ sở chi nhánh, phòng giao dịch; trường hợp không chấp thuận, văn bản gửi ngân hàng thương mại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đầy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đầy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đầy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thương mại đề nghị chấp thuận thay đổi địa điểm đặt trụ sở chi nhánh, phòng giao dịch; trong đó tối thiểu bao gồm các nội dung: tên, địa điểm hiện tại, địa điểm dự kiến chuyển đến, lý do thay đổi địa điểm, kế hoạch chuyển trụ sở để đảm bảo tính liên tục trong hoạt động, cam kết đáp ứng điều kiện theo quy định chậm nhất 07 ngày làm việc trước ngày dự kiến khai trương hoạt động tại địa điểm được chấp thuận.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thay đổi địa điểm đặt trụ sở chi nhánh, phòng giao dịch, Văn bản không chấp thuận việc thay đổi địa điểm đặt trụ sở chi nhánh, phòng giao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32/2024/TT-NHNN</w:t>
            </w:r>
          </w:p>
        </w:tc>
        <w:tc>
          <w:p/>
          <w:p>
            <w:pPr>
              <w:spacing w:after="0" w:before="0" w:lineRule="auto" w:line="276"/>
              <w:jc w:val="left"/>
            </w:pPr>
            <w:r>
              <w:rPr>
                <w:rFonts w:ascii="Times New Roman" w:hAnsi="Times New Roman" w:cs="Times New Roman" w:eastAsia="Times New Roman"/>
                <w:b w:val="false"/>
                <w:sz w:val="26"/>
              </w:rPr>
              <w:t>Thông tư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08/2025/TT-NHNN</w:t>
            </w:r>
          </w:p>
        </w:tc>
        <w:tc>
          <w:p/>
          <w:p>
            <w:pPr>
              <w:spacing w:after="0" w:before="0" w:lineRule="auto" w:line="276"/>
              <w:jc w:val="left"/>
            </w:pPr>
            <w:r>
              <w:rPr>
                <w:rFonts w:ascii="Times New Roman" w:hAnsi="Times New Roman" w:cs="Times New Roman" w:eastAsia="Times New Roman"/>
                <w:b w:val="false"/>
                <w:sz w:val="26"/>
              </w:rPr>
              <w:t>Thông tư 08/2025/TT-NHNN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06-06-2025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quyền sở hữu hoặc sử dụng hợp pháp trụ sở chi nhánh, phòng giao dịch; trụ sở, trừ trụ sở phòng giao dịch, phải đảm bảo lưu trữ chứng từ, thuận tiện và an toàn cho giao dịch, tài sản, có đầy đủ hệ thống đảm bảo an ninh, bảo vệ, hệ thống cấp điện, liên lạc duy trì liên tục, đáp ứng yêu cầu phòng, chống cháy nổ;
+ Trụ sở chi nhánh có kho tiền đảm bảo an toàn theo tiêu chuẩn quy định của Ngân hàng Nhà nước. Trường hợp ngân hàng thương mại có hơn một chi nhánh trên cùng địa bàn tỉnh, thành phố trực thuộc Trung ương, ngân hàng thương mại phải có tối thiểu một chi nhánh có kho tiền theo quy định của Ngân hàng Nhà nước và phải chịu trách nhiệm chuyển tiền của các chi nhánh không có kho tiền về chi nhánh có kho tiền sau khi kết thúc giờ giao dịch mỗi ngày làm việc;
+ Chi nhánh, phòng giao dịch có hệ thống công nghệ thông tin kết nối trực tuyến với trụ sở chính và phòng giao dịch kết nối trực tuyến với chi nhánh quản lý; đảm bảo hệ thống công nghệ thông tin, cơ sở dữ liệu hoạt động liên tục, an toàn, bảo mật cho các hoạt động nghiệp vụ;
+ Chi nhánh, phòng giao dịch có đầy đủ nhân sự điều hành tối thiểu gồm Giám đốc chi nhánh, Giám đốc phòng giao dịch hoặc chức danh tương đương và đội ngũ nhân viên thực hiện nghiệp vụ tại phòng giao dịch, chi nhánh, trong đó Giám đốc chi nhánh, Giám đốc phòng giao dịch này không được kiêm nhiệm Giám đốc chi nhánh, Giám đốc phòng giao dịch khác và Giám đốc chi nhánh không được kiêm nhiệm Giám đốc phòng giao dịch;
+ Giám đốc chi nhánh hoặc các chức danh tương đương (đối với trường hợp khai trương hoạt đông chi nhánh) đáp ứng các tiêu chuẩn, điều kiện theo quy định tại khoản 5 Điều 41 Luật Các tổ chức tín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2025-11-27T16:05:16Z</dcterms:created>
  <dc:creator>Apache POI</dc:creator>
</cp:coreProperties>
</file>