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1.000195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109/QĐ-NHNN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xác nhận đăng ký thay đổi giao dịch ngoại hối liên quan đến hoạt động đầu tư ra nước ngoài đối với nhà đầu tư không phải là Tổ chức tín dụng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Nhà đầu tư gửi 01 (một) bộ hồ sơ đăng ký thay đổi giao dịch ngoại hối liên quan đến hoạt động đầu tư ra nước ngoài đến Ngân hàng Nhà nước Khu vực nơi xác nhận đăng ký giao dịch ngoại hối hoặc nơi xác nhận đăng ký thay đổi giao dịch ngoại hối lần gần nhất đối với trường hợp đã đăng ký thay đổi.</w:t>
      </w:r>
    </w:p>
    <w:p>
      <w:pPr>
        <w:spacing w:after="0" w:before="0" w:lineRule="auto" w:line="276"/>
        <w:jc w:val="both"/>
      </w:pPr>
      <w:r>
        <w:rPr>
          <w:rFonts w:ascii="Times New Roman" w:hAnsi="Times New Roman" w:cs="Times New Roman" w:eastAsia="Times New Roman"/>
          <w:b w:val="false"/>
          <w:sz w:val="26"/>
        </w:rPr>
        <w:t>+ Bước 2: Trường hợp hồ sơ chưa đầy đủ, hợp lệ, trong thời hạn 05 (năm) ngày làm việc kể từ ngày nhận được hồ sơ, Ngân hàng Nhà nước Khu vực có văn bản yêu cầu nhà đầu tư bổ sung hồ sơ.</w:t>
      </w:r>
    </w:p>
    <w:p>
      <w:pPr>
        <w:spacing w:after="0" w:before="0" w:lineRule="auto" w:line="276"/>
        <w:jc w:val="both"/>
      </w:pPr>
      <w:r>
        <w:rPr>
          <w:rFonts w:ascii="Times New Roman" w:hAnsi="Times New Roman" w:cs="Times New Roman" w:eastAsia="Times New Roman"/>
          <w:b w:val="false"/>
          <w:sz w:val="26"/>
        </w:rPr>
        <w:t>+ Bước 3: Trong thời hạn 10 (mười) ngày làm việc kể từ ngày nhận hồ sơ  đăng ký thay đổi đầy đủ và hợp lệ, Ngân hàng Nhà nước Khu vực có trách nhiệm xác nhận hoặc từ chối xác nhận đăng ký thay đổi cho nhà đầu tư.
Trường hợp từ chối xác nhận đăng ký thay đổi giao dịch ngoại hối liên quan đến hoạt động đầu tư ra nước ngoài của nhà đầu tư, Ngân hàng Nhà nước Khu vực có văn bản thông báo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thay đổi giao dịch ngoại hối liên quan đến hoạt động đầu tư ra nước ngoài theo Phụ lục số 02 ban hành kèm Thông tư 12;</w:t>
            </w:r>
          </w:p>
        </w:tc>
        <w:tc>
          <w:p/>
          <w:p>
            <w:pPr>
              <w:spacing w:after="0" w:before="0" w:lineRule="auto" w:line="276"/>
              <w:jc w:val="left"/>
            </w:pPr>
            <w:r>
              <w:rPr>
                <w:rFonts w:ascii="Times New Roman" w:hAnsi="Times New Roman" w:cs="Times New Roman" w:eastAsia="Times New Roman"/>
                <w:b w:val="false"/>
                <w:sz w:val="26"/>
              </w:rPr>
              <w:t>Phulucso02.docx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xác nhận của Tổ chức tín dụng được phép nơi nhà đầu tư đang mở tài khoản vốn đầu tư về số dư trên tài khoản này; số tiền đã chuyển ra nước ngoài và số tiền đã chuyển về Việt Nam đến thời điểm phát sinh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được cấp từ sổ gốc hoặc bản sao có chứng thực hoặc bản sao kèm xuất trình bản chính để đối chiếu Giấy chứng nhận đăng ký đầu tư ra nước ngoài đã được điều chỉnh do cơ quan có thẩm quyền của Việt Nam cấp áp dụng đối với các trường hợp thay đổi sau: (i) Thay đổi nhà đầu tư thực hiện dự án đầu tư ra nước ngoài; thay đổi tên nhà đầu tư; thay đổi địa chỉ của nhà đầu tư đối với trường hợp sự thay đổi này làm thay đổi cơ quan có thẩm quyền xác nhận đăng ký thay đổi giao dịch ngoại hối liên quan đến hoạt động đầu tư ra nước ngoài; (ii) Thay đổi liên quan đến tăng hoặc giảm vốn đầu tư bằng tiền của nhà đầu tư (trừ trường hợp Nhà đầu tư sử dụng lợi nhuận thu được từ hoạt động đầu tư ở nước ngoài để tăng vốn, mở rộng hoạt động đầu tư ở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xác nhận đăng ký thay đổi giao dịch ngoại hối liên quan đến hoạt động đầu tư ra nước ngoài đối với nhà đầu tư không phải là Tổ chức tín dụng, Văn bản từ chối xác nhận đăng ký thay đổi giao dịch ngoại hối liên quan đến hoạt động đầu tư ra nước ngoài đối với nhà đầu tư không phải là Tổ chức tín dụng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12/2016/TT-NHNN</w:t>
            </w:r>
          </w:p>
        </w:tc>
        <w:tc>
          <w:p/>
          <w:p>
            <w:pPr>
              <w:spacing w:after="0" w:before="0" w:lineRule="auto" w:line="276"/>
              <w:jc w:val="left"/>
            </w:pPr>
            <w:r>
              <w:rPr>
                <w:rFonts w:ascii="Times New Roman" w:hAnsi="Times New Roman" w:cs="Times New Roman" w:eastAsia="Times New Roman"/>
                <w:b w:val="false"/>
                <w:sz w:val="26"/>
              </w:rPr>
              <w:t>Thông tư 12/2016/TT-NHNN</w:t>
            </w:r>
          </w:p>
        </w:tc>
        <w:tc>
          <w:p/>
          <w:p>
            <w:pPr>
              <w:spacing w:after="0" w:before="0" w:lineRule="auto" w:line="276"/>
              <w:jc w:val="left"/>
            </w:pPr>
            <w:r>
              <w:rPr>
                <w:rFonts w:ascii="Times New Roman" w:hAnsi="Times New Roman" w:cs="Times New Roman" w:eastAsia="Times New Roman"/>
                <w:b w:val="false"/>
                <w:sz w:val="26"/>
              </w:rPr>
              <w:t>29-06-2016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06/2013/UBTVQH13</w:t>
            </w:r>
          </w:p>
        </w:tc>
        <w:tc>
          <w:p/>
          <w:p>
            <w:pPr>
              <w:spacing w:after="0" w:before="0" w:lineRule="auto" w:line="276"/>
              <w:jc w:val="left"/>
            </w:pPr>
            <w:r>
              <w:rPr>
                <w:rFonts w:ascii="Times New Roman" w:hAnsi="Times New Roman" w:cs="Times New Roman" w:eastAsia="Times New Roman"/>
                <w:b w:val="false"/>
                <w:sz w:val="26"/>
              </w:rPr>
              <w:t>Pháp lệnh 06/2013/UBTVQH13</w:t>
            </w:r>
          </w:p>
        </w:tc>
        <w:tc>
          <w:p/>
          <w:p>
            <w:pPr>
              <w:spacing w:after="0" w:before="0" w:lineRule="auto" w:line="276"/>
              <w:jc w:val="left"/>
            </w:pPr>
            <w:r>
              <w:rPr>
                <w:rFonts w:ascii="Times New Roman" w:hAnsi="Times New Roman" w:cs="Times New Roman" w:eastAsia="Times New Roman"/>
                <w:b w:val="false"/>
                <w:sz w:val="26"/>
              </w:rPr>
              <w:t>19-03-2013</w:t>
            </w:r>
          </w:p>
        </w:tc>
        <w:tc>
          <w:p/>
        </w:tc>
      </w:tr>
      <w:tr>
        <w:tc>
          <w:p/>
          <w:p>
            <w:pPr>
              <w:spacing w:after="0" w:before="0" w:lineRule="auto" w:line="276"/>
              <w:jc w:val="left"/>
            </w:pPr>
            <w:r>
              <w:rPr>
                <w:rFonts w:ascii="Times New Roman" w:hAnsi="Times New Roman" w:cs="Times New Roman" w:eastAsia="Times New Roman"/>
                <w:b w:val="false"/>
                <w:sz w:val="26"/>
              </w:rPr>
              <w:t>24/2022/TT-NHNN</w:t>
            </w:r>
          </w:p>
        </w:tc>
        <w:tc>
          <w:p/>
          <w:p>
            <w:pPr>
              <w:spacing w:after="0" w:before="0" w:lineRule="auto" w:line="276"/>
              <w:jc w:val="left"/>
            </w:pPr>
            <w:r>
              <w:rPr>
                <w:rFonts w:ascii="Times New Roman" w:hAnsi="Times New Roman" w:cs="Times New Roman" w:eastAsia="Times New Roman"/>
                <w:b w:val="false"/>
                <w:sz w:val="26"/>
              </w:rPr>
              <w:t>Thông tư 24/2022/TT-NHNN</w:t>
            </w:r>
          </w:p>
        </w:tc>
        <w:tc>
          <w:p/>
          <w:p>
            <w:pPr>
              <w:spacing w:after="0" w:before="0" w:lineRule="auto" w:line="276"/>
              <w:jc w:val="left"/>
            </w:pPr>
            <w:r>
              <w:rPr>
                <w:rFonts w:ascii="Times New Roman" w:hAnsi="Times New Roman" w:cs="Times New Roman" w:eastAsia="Times New Roman"/>
                <w:b w:val="false"/>
                <w:sz w:val="26"/>
              </w:rPr>
              <w:t>30-12-2022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2025-11-27T16:05:41Z</dcterms:created>
  <dc:creator>Apache POI</dc:creator>
</cp:coreProperties>
</file>