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1.000196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2458/QĐ-NHNN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đăng ký chương trình, dự án tài chính vi mô có địa bàn hoạt động từ 02 tỉnh, thành phố trực thuộc Trung ương trở lên đang hoạt động trước khi Quyết định số 20/2017/QĐ-TTg có hiệu lực thi hành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chính trị, tổ chức chính trị - xã hội, tổ chức phi chính phủ có chương trình, dự án tài chính vi mô có địa bàn hoạt động từ 02 tỉnh, thành phố trực thuộc Trung ương trở lên và tổ chức phi chính phủ nước ngoài đang trực tiếp thực hiện chương trình, dự án tài chính vi mô đã hoạt động trước ngày Quyết định này có hiệu lực thi hành, gửi trực tiếp hoặc qua đường bưu điện 01 bộ hồ sơ đến Ngân hàng Nhà nước Việt Nam.</w:t>
      </w:r>
    </w:p>
    <w:p>
      <w:pPr>
        <w:spacing w:after="0" w:before="0" w:lineRule="auto" w:line="276"/>
        <w:jc w:val="both"/>
      </w:pPr>
      <w:r>
        <w:rPr>
          <w:rFonts w:ascii="Times New Roman" w:hAnsi="Times New Roman" w:cs="Times New Roman" w:eastAsia="Times New Roman"/>
          <w:b w:val="false"/>
          <w:sz w:val="26"/>
        </w:rPr>
        <w:t>Bước 2: Ngân hàng Nhà nước Việt Nam xem xét, thẩm định hồ sơ.</w:t>
      </w:r>
    </w:p>
    <w:p>
      <w:pPr>
        <w:spacing w:after="0" w:before="0" w:lineRule="auto" w:line="276"/>
        <w:jc w:val="both"/>
      </w:pPr>
      <w:r>
        <w:rPr>
          <w:rFonts w:ascii="Times New Roman" w:hAnsi="Times New Roman" w:cs="Times New Roman" w:eastAsia="Times New Roman"/>
          <w:b w:val="false"/>
          <w:sz w:val="26"/>
        </w:rPr>
        <w:t>Bước 3: Ngân hàng Nhà nước Việt Nam có văn bản chấp thuận hoặc không chấp thuận đề nghị Cấp Giấy chứng nhận đăng ký chương trình, dự án tài chính vi mô của tổ chức chính trị, tổ chức chính trị - xã hội, tổ chức phi chính phủ.</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10 ngày làm việc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10 ngày làm việc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hoạt độngchương trình, dự án tài chính vi mô theo quy định tại Phụ lục 1 ban hành kèm theo Quyết định số 20/2017/QĐ-TTg</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hoạt động theo Phụ lục 3 ban hành kèm theo Quyết định số 20/2017/QĐ-TTg.</w:t>
            </w:r>
          </w:p>
        </w:tc>
        <w:tc>
          <w:p/>
          <w:p>
            <w:pPr>
              <w:spacing w:after="0" w:before="0" w:lineRule="auto" w:line="276"/>
              <w:jc w:val="left"/>
            </w:pPr>
            <w:r>
              <w:rPr>
                <w:rFonts w:ascii="Times New Roman" w:hAnsi="Times New Roman" w:cs="Times New Roman" w:eastAsia="Times New Roman"/>
                <w:b w:val="false"/>
                <w:sz w:val="26"/>
              </w:rPr>
              <w:t>Mus03.docx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chương trình, dự án tài chính vi mô của tổ chức chính trị, tổ chức chính trị - xã hội, tổ chức phi chính phủ.</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20/2017/QĐ-TTg</w:t>
            </w:r>
          </w:p>
        </w:tc>
        <w:tc>
          <w:p/>
          <w:p>
            <w:pPr>
              <w:spacing w:after="0" w:before="0" w:lineRule="auto" w:line="276"/>
              <w:jc w:val="left"/>
            </w:pPr>
            <w:r>
              <w:rPr>
                <w:rFonts w:ascii="Times New Roman" w:hAnsi="Times New Roman" w:cs="Times New Roman" w:eastAsia="Times New Roman"/>
                <w:b w:val="false"/>
                <w:sz w:val="26"/>
              </w:rPr>
              <w:t>Quy định về hoạt động của chương trình, dự án tài chính vi mô của tổ chức chính trị, tổ chức chính trị- xã hội, tổ chức phi chính phủ</w:t>
            </w:r>
          </w:p>
        </w:tc>
        <w:tc>
          <w:p/>
          <w:p>
            <w:pPr>
              <w:spacing w:after="0" w:before="0" w:lineRule="auto" w:line="276"/>
              <w:jc w:val="left"/>
            </w:pPr>
            <w:r>
              <w:rPr>
                <w:rFonts w:ascii="Times New Roman" w:hAnsi="Times New Roman" w:cs="Times New Roman" w:eastAsia="Times New Roman"/>
                <w:b w:val="false"/>
                <w:sz w:val="26"/>
              </w:rPr>
              <w:t>12-06-2017</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2025-11-27T16:06:45Z</dcterms:created>
  <dc:creator>Apache POI</dc:creator>
</cp:coreProperties>
</file>