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1.000198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1119/QĐ-NHNN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thu hồi, hủy bỏ nghiệp vụ chứng thư số</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công nghệ thông tin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Tổ chức quản lý thuê bao gửi hồ sơ đề nghị thu hồi, hủy bỏ nghiệp vụ chứng thư số của thuê bao hoặc cơ quan Nhà nước có thẩm quyền gửi văn bản đề nghị tới Ngân hàng Nhà nước Việt Nam (Cục Công nghệ thông tin).
+ Bước 2: Ngân hàng Nhà nước Việt Nam (Cục Công nghệ thông tin) thẩm định, xem xét hồ sơ nếu hợp lệ sẽ thu hồi hoặc huỷ bỏ nghiệp vụ chứng thư số của thuê bao.
+ Bước 3: Ngân hàng Nhà nước Việt Nam (Cục Công nghệ thông tin) gửi thông báo kết quả xử lý, lý do từ chối trong trường hợp hồ sơ không được chấp thuận đến tổ chức quản lý thuê bao bằng phương thức điện tử qua Hệ thống dịch vụ công. Trường hợp Hệ thống dịch vụ công gặp sự cố, thông báo kết quả được gửi đến tổ chức quản lý thuê bao qua dịch vụ bưu chính hoặc địa chỉ thư điện tử của thuê bao và cá nhân hoặc bộ phận đầu mối phụ trách quản lý chứng thư số của tổ chức quản lý thuê bao.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01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01 ngày làm việc kể từ ngày nhận được hồ sơ đề nghị thu hồi, hủy bỏ nghiệp vụ chứng thư số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01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01 ngày làm việc kể từ ngày nhận được hồ sơ đề nghị thu hồi, hủy bỏ nghiệp vụ chứng thư số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01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01 ngày làm việc kể từ ngày nhận được hồ sơ đề nghị thu hồi, hủy bỏ nghiệp vụ chứng thư số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đề nghị thu hồi, hủy bỏ nghiệp vụ chứng thư số theo Phụ lục 06.</w:t>
            </w:r>
          </w:p>
        </w:tc>
        <w:tc>
          <w:p/>
          <w:p>
            <w:pPr>
              <w:spacing w:after="0" w:before="0" w:lineRule="auto" w:line="276"/>
              <w:jc w:val="left"/>
            </w:pPr>
            <w:r>
              <w:rPr>
                <w:rFonts w:ascii="Times New Roman" w:hAnsi="Times New Roman" w:cs="Times New Roman" w:eastAsia="Times New Roman"/>
                <w:b w:val="false"/>
                <w:sz w:val="26"/>
              </w:rPr>
              <w:t>PHỤ LỤC 06.docx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số 49 Lý Thái Tổ, Hoàn Kiếm, Hà Nội/Dịch vụ Bưu chính/Cổng dịch vụ công quốc gia/Cổng dịch vụ công NHNN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Thông báo thu hồi hoặc hủy bỏ nghiệp vụ chứng thư số của thuê bao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28/2015/TT-NHNN</w:t>
            </w:r>
          </w:p>
        </w:tc>
        <w:tc>
          <w:p/>
          <w:p>
            <w:pPr>
              <w:spacing w:after="0" w:before="0" w:lineRule="auto" w:line="276"/>
              <w:jc w:val="left"/>
            </w:pPr>
            <w:r>
              <w:rPr>
                <w:rFonts w:ascii="Times New Roman" w:hAnsi="Times New Roman" w:cs="Times New Roman" w:eastAsia="Times New Roman"/>
                <w:b w:val="false"/>
                <w:sz w:val="26"/>
              </w:rPr>
              <w:t>Thông tư 28/2015/TT-NHNN</w:t>
            </w:r>
          </w:p>
        </w:tc>
        <w:tc>
          <w:p/>
          <w:p>
            <w:pPr>
              <w:spacing w:after="0" w:before="0" w:lineRule="auto" w:line="276"/>
              <w:jc w:val="left"/>
            </w:pPr>
            <w:r>
              <w:rPr>
                <w:rFonts w:ascii="Times New Roman" w:hAnsi="Times New Roman" w:cs="Times New Roman" w:eastAsia="Times New Roman"/>
                <w:b w:val="false"/>
                <w:sz w:val="26"/>
              </w:rPr>
              <w:t>18-12-2015</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10/2020/TT-NHNN</w:t>
            </w:r>
          </w:p>
        </w:tc>
        <w:tc>
          <w:p/>
          <w:p>
            <w:pPr>
              <w:spacing w:after="0" w:before="0" w:lineRule="auto" w:line="276"/>
              <w:jc w:val="left"/>
            </w:pPr>
            <w:r>
              <w:rPr>
                <w:rFonts w:ascii="Times New Roman" w:hAnsi="Times New Roman" w:cs="Times New Roman" w:eastAsia="Times New Roman"/>
                <w:b w:val="false"/>
                <w:sz w:val="26"/>
              </w:rPr>
              <w:t>Thông tư 10/2020/TT-NHNN</w:t>
            </w:r>
          </w:p>
        </w:tc>
        <w:tc>
          <w:p/>
          <w:p>
            <w:pPr>
              <w:spacing w:after="0" w:before="0" w:lineRule="auto" w:line="276"/>
              <w:jc w:val="left"/>
            </w:pPr>
            <w:r>
              <w:rPr>
                <w:rFonts w:ascii="Times New Roman" w:hAnsi="Times New Roman" w:cs="Times New Roman" w:eastAsia="Times New Roman"/>
                <w:b w:val="false"/>
                <w:sz w:val="26"/>
              </w:rPr>
              <w:t>02-11-2020</w:t>
            </w:r>
          </w:p>
        </w:tc>
        <w:tc>
          <w:p/>
        </w:tc>
      </w:tr>
      <w:tr>
        <w:tc>
          <w:p/>
          <w:p>
            <w:pPr>
              <w:spacing w:after="0" w:before="0" w:lineRule="auto" w:line="276"/>
              <w:jc w:val="left"/>
            </w:pPr>
            <w:r>
              <w:rPr>
                <w:rFonts w:ascii="Times New Roman" w:hAnsi="Times New Roman" w:cs="Times New Roman" w:eastAsia="Times New Roman"/>
                <w:b w:val="false"/>
                <w:sz w:val="26"/>
              </w:rPr>
              <w:t>Thông tư 16/2023/TT-NHNN</w:t>
            </w:r>
          </w:p>
        </w:tc>
        <w:tc>
          <w:p/>
          <w:p>
            <w:pPr>
              <w:spacing w:after="0" w:before="0" w:lineRule="auto" w:line="276"/>
              <w:jc w:val="left"/>
            </w:pPr>
            <w:r>
              <w:rPr>
                <w:rFonts w:ascii="Times New Roman" w:hAnsi="Times New Roman" w:cs="Times New Roman" w:eastAsia="Times New Roman"/>
                <w:b w:val="false"/>
                <w:sz w:val="26"/>
              </w:rPr>
              <w:t>Thông tư sửa đổi, bổ sung một số điều của Thông tư số 28/2015/TT-NHNN ngày 18/12/2015 của Thống đốc Ngân hàng Nhà nước Việt Nam quy định về việc quản lý, sử dụng chữ ký số, chứng thư số và dịch vụ chứng thực chữ ký số của Ngân hàng Nhà nước</w:t>
            </w:r>
          </w:p>
        </w:tc>
        <w:tc>
          <w:p/>
          <w:p>
            <w:pPr>
              <w:spacing w:after="0" w:before="0" w:lineRule="auto" w:line="276"/>
              <w:jc w:val="left"/>
            </w:pPr>
            <w:r>
              <w:rPr>
                <w:rFonts w:ascii="Times New Roman" w:hAnsi="Times New Roman" w:cs="Times New Roman" w:eastAsia="Times New Roman"/>
                <w:b w:val="false"/>
                <w:sz w:val="26"/>
              </w:rPr>
              <w:t>15-12-2023</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https://thutuc.dichvucong.gov.vn/p/home/dvc-tthc-thu-tuc-hanh-chinh-chi-tiet.html?ma_thu_tuc=283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2025-11-27T16:06:44Z</dcterms:created>
  <dc:creator>Apache POI</dc:creator>
</cp:coreProperties>
</file>