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tạm dừng chứng thư số</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công nghệ thông tin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quản lý thuê bao hoặc cơ quan Nhà nước có thẩm quyền gửi hồ sơ tới Ngân hàng Nhà nước Việt Nam (Cục Công nghệ thông tin) đề nghị tạm dừng chứng thư số cho thuê bao.</w:t>
      </w:r>
    </w:p>
    <w:p>
      <w:pPr>
        <w:spacing w:after="0" w:before="0" w:lineRule="auto" w:line="276"/>
        <w:jc w:val="both"/>
      </w:pPr>
      <w:r>
        <w:rPr>
          <w:rFonts w:ascii="Times New Roman" w:hAnsi="Times New Roman" w:cs="Times New Roman" w:eastAsia="Times New Roman"/>
          <w:b w:val="false"/>
          <w:sz w:val="26"/>
        </w:rPr>
        <w:t>+ Bước 2: Ngân hàng Nhà nước Việt Nam xem xét, thẩm định hồ sơ nếu hợp lệ sẽ tạm dừng chứng thư số.</w:t>
      </w:r>
    </w:p>
    <w:p>
      <w:pPr>
        <w:spacing w:after="0" w:before="0" w:lineRule="auto" w:line="276"/>
        <w:jc w:val="both"/>
      </w:pPr>
      <w:r>
        <w:rPr>
          <w:rFonts w:ascii="Times New Roman" w:hAnsi="Times New Roman" w:cs="Times New Roman" w:eastAsia="Times New Roman"/>
          <w:b w:val="false"/>
          <w:sz w:val="26"/>
        </w:rPr>
        <w:t>+ Bước 3: Ngân hàng Nhà nước Việt Nam gửi thông báo kết quả xử lý, lý do từ chối trong trường hợp hồ sơ không được chấp thuận đến tổ chức quản lý thuê bao bằng phương thức điện tử qua Hệ thống dịch vụ công. Trường hợp Hệ thống dịch vụ công gặp sự cố, thông báo kết quả được gửi đến: (i) tổ chức quản lý thuê bao qua dịch vụ bưu chính hoặc (ii) địa chỉ thư điện tử của thuê bao và cá nhân hoặc bộ phận đầu mối phụ trách quản lý chứng thư số của tổ chức quản lý thuê bao.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hồ sơ đề nghị tạm dừng chứng thư số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hồ sơ đề nghị tạm dừng chứng thư số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hồ sơ đề nghị tạm dừng chứng thư số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tạm dừng chứng thư số theo Phụ lục 04.</w:t>
            </w:r>
          </w:p>
        </w:tc>
        <w:tc>
          <w:p/>
          <w:p>
            <w:pPr>
              <w:spacing w:after="0" w:before="0" w:lineRule="auto" w:line="276"/>
              <w:jc w:val="left"/>
            </w:pPr>
            <w:r>
              <w:rPr>
                <w:rFonts w:ascii="Times New Roman" w:hAnsi="Times New Roman" w:cs="Times New Roman" w:eastAsia="Times New Roman"/>
                <w:b w:val="false"/>
                <w:sz w:val="26"/>
              </w:rPr>
              <w:t>Phụ lục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Nội/Dịch vụ Bưu chính/Cổng dịch vụ công quốc gia/Cổng dịch vụ công NHNN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tạm dừng chứng thư số của thuê bao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28/2015/TT-NHNN</w:t>
            </w:r>
          </w:p>
        </w:tc>
        <w:tc>
          <w:p/>
          <w:p>
            <w:pPr>
              <w:spacing w:after="0" w:before="0" w:lineRule="auto" w:line="276"/>
              <w:jc w:val="left"/>
            </w:pPr>
            <w:r>
              <w:rPr>
                <w:rFonts w:ascii="Times New Roman" w:hAnsi="Times New Roman" w:cs="Times New Roman" w:eastAsia="Times New Roman"/>
                <w:b w:val="false"/>
                <w:sz w:val="26"/>
              </w:rPr>
              <w:t>Thông tư 28/2015/TT-NHNN</w:t>
            </w:r>
          </w:p>
        </w:tc>
        <w:tc>
          <w:p/>
          <w:p>
            <w:pPr>
              <w:spacing w:after="0" w:before="0" w:lineRule="auto" w:line="276"/>
              <w:jc w:val="left"/>
            </w:pPr>
            <w:r>
              <w:rPr>
                <w:rFonts w:ascii="Times New Roman" w:hAnsi="Times New Roman" w:cs="Times New Roman" w:eastAsia="Times New Roman"/>
                <w:b w:val="false"/>
                <w:sz w:val="26"/>
              </w:rPr>
              <w:t>18-12-2015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10/2020/TT-NHNN</w:t>
            </w:r>
          </w:p>
        </w:tc>
        <w:tc>
          <w:p/>
          <w:p>
            <w:pPr>
              <w:spacing w:after="0" w:before="0" w:lineRule="auto" w:line="276"/>
              <w:jc w:val="left"/>
            </w:pPr>
            <w:r>
              <w:rPr>
                <w:rFonts w:ascii="Times New Roman" w:hAnsi="Times New Roman" w:cs="Times New Roman" w:eastAsia="Times New Roman"/>
                <w:b w:val="false"/>
                <w:sz w:val="26"/>
              </w:rPr>
              <w:t>Thông tư 10/2020/TT-NHNN</w:t>
            </w:r>
          </w:p>
        </w:tc>
        <w:tc>
          <w:p/>
          <w:p>
            <w:pPr>
              <w:spacing w:after="0" w:before="0" w:lineRule="auto" w:line="276"/>
              <w:jc w:val="left"/>
            </w:pPr>
            <w:r>
              <w:rPr>
                <w:rFonts w:ascii="Times New Roman" w:hAnsi="Times New Roman" w:cs="Times New Roman" w:eastAsia="Times New Roman"/>
                <w:b w:val="false"/>
                <w:sz w:val="26"/>
              </w:rPr>
              <w:t>02-11-2020</w:t>
            </w:r>
          </w:p>
        </w:tc>
        <w:tc>
          <w:p/>
        </w:tc>
      </w:tr>
      <w:tr>
        <w:tc>
          <w:p/>
          <w:p>
            <w:pPr>
              <w:spacing w:after="0" w:before="0" w:lineRule="auto" w:line="276"/>
              <w:jc w:val="left"/>
            </w:pPr>
            <w:r>
              <w:rPr>
                <w:rFonts w:ascii="Times New Roman" w:hAnsi="Times New Roman" w:cs="Times New Roman" w:eastAsia="Times New Roman"/>
                <w:b w:val="false"/>
                <w:sz w:val="26"/>
              </w:rPr>
              <w:t>Thông tư 16/2023/TT-NHNN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28/2015/TT-NHNN ngày 18/12/2015 của Thống đốc Ngân hàng Nhà nước Việt Nam quy định về việc quản lý, sử dụng chữ ký số, chứng thư số và dịch vụ chứng thực chữ ký số của Ngân hàng Nhà nước</w:t>
            </w:r>
          </w:p>
        </w:tc>
        <w:tc>
          <w:p/>
          <w:p>
            <w:pPr>
              <w:spacing w:after="0" w:before="0" w:lineRule="auto" w:line="276"/>
              <w:jc w:val="left"/>
            </w:pPr>
            <w:r>
              <w:rPr>
                <w:rFonts w:ascii="Times New Roman" w:hAnsi="Times New Roman" w:cs="Times New Roman" w:eastAsia="Times New Roman"/>
                <w:b w:val="false"/>
                <w:sz w:val="26"/>
              </w:rPr>
              <w:t>15-12-2023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2025-11-27T16:07:16Z</dcterms:created>
  <dc:creator>Apache POI</dc:creator>
</cp:coreProperties>
</file>