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1.000215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3440/QĐ-NHNN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Giấy phép nhập khẩu vàng nguyên liệu đối với doanh nghiệp đầu tư ra nước ngoài trong lĩnh vực khai thác vàng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ngoại hối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Doanh nghiệp lập hồ sơ đề nghị cấp Giấy phép nhập khẩu vàng nguyên liệu đối với doanh nghiệp đầu tư ra nước ngoài trong lĩnh vực khai thác vàng theo quy định gửi Ngân hàng Nhà nước</w:t>
      </w:r>
    </w:p>
    <w:p>
      <w:pPr>
        <w:spacing w:after="0" w:before="0" w:lineRule="auto" w:line="276"/>
        <w:jc w:val="both"/>
      </w:pPr>
      <w:r>
        <w:rPr>
          <w:rFonts w:ascii="Times New Roman" w:hAnsi="Times New Roman" w:cs="Times New Roman" w:eastAsia="Times New Roman"/>
          <w:b w:val="false"/>
          <w:sz w:val="26"/>
        </w:rPr>
        <w:t>Bước 2: Trong thời hạn 15 (mười lăm) ngày làm việc kể từ ngày nhận đủ hồ sơ hợp lệ theo quy định tại Điều 8 Thông tư số 34/2025/TT-NHNN, Ngân hàng Nhà nước Việt Nam xem xét cấp hoặc từ chối cấp (ghi rõ lý do) Giấy phép nhập khẩu vàng nguyên liệu đối với doanh nghiệp đầu tư ra nước ngoài trong lĩnh vực khai thác vàng theo mẫu tại Phụ lục số 14 ban hành kèm theo Thông tư số 34/2025/NHNN.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nhận đầy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nhận đầy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nhận đầy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Đơn đề nghị cấp Giấy phép nhập khẩu vàng nguyên liệu theo mẫu tại Phụ lục số 07 ban hành kèm theo Thông tư số 34/2025/TT-NHNN.</w:t>
            </w:r>
          </w:p>
        </w:tc>
        <w:tc>
          <w:p/>
          <w:p>
            <w:pPr>
              <w:spacing w:after="0" w:before="0" w:lineRule="auto" w:line="276"/>
              <w:jc w:val="left"/>
            </w:pPr>
            <w:r>
              <w:rPr>
                <w:rFonts w:ascii="Times New Roman" w:hAnsi="Times New Roman" w:cs="Times New Roman" w:eastAsia="Times New Roman"/>
                <w:b w:val="false"/>
                <w:sz w:val="26"/>
              </w:rPr>
              <w:t>Phulucso07.docx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Giấy chứng nhận đăng ký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3. Tài liệu chứng minh nguồn vàng nguyên liệu dự kiến nhập khẩu là do doanh nghiệp khai thác ở nước ngoài hoặc được phân chia sản phẩm theo thỏa thuận khai thác vàng ở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4. Báo cáo tình hình khai thác và nhập khẩu vàng nguyên liệu của doanh nghiệp trong thời hạn 12 (mười hai) tháng liền kề trước thời nộp hồ sơ theo mẫu tại Phụ lục số 08 ban hành kèm theo Thông tư số 34/2025/TT-NHNN, kèm Bảng kê các tờ khai Hải quan nhập khẩu vàng và Phiếu trừ lùi in từ Hệ thống thông tin nghiệp vụ Hải quan có xác nhận của doanh nghiệp về tính chính xác của tài liệu này (nếu có).</w:t>
            </w:r>
          </w:p>
        </w:tc>
        <w:tc>
          <w:p/>
          <w:p>
            <w:pPr>
              <w:spacing w:after="0" w:before="0" w:lineRule="auto" w:line="276"/>
              <w:jc w:val="left"/>
            </w:pPr>
            <w:r>
              <w:rPr>
                <w:rFonts w:ascii="Times New Roman" w:hAnsi="Times New Roman" w:cs="Times New Roman" w:eastAsia="Times New Roman"/>
                <w:b w:val="false"/>
                <w:sz w:val="26"/>
              </w:rPr>
              <w:t>Phulucso08.docx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có vốn đầu tư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49 Lý Thái Tổ,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NHẬP KHẨU VÀNG NGUYÊN LIỆU  (đối với doanh nghiệp đầu tư ra nước ngoài trong lĩnh vực khai thác vàng); XUẤT KHẨU VÀNG NGUYÊN LIỆU  (đối với doanh nghiệp có Giấy phép khai thác vàng tại Việt Nam)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24/2012/NĐ-CP</w:t>
            </w:r>
          </w:p>
        </w:tc>
        <w:tc>
          <w:p/>
          <w:p>
            <w:pPr>
              <w:spacing w:after="0" w:before="0" w:lineRule="auto" w:line="276"/>
              <w:jc w:val="left"/>
            </w:pPr>
            <w:r>
              <w:rPr>
                <w:rFonts w:ascii="Times New Roman" w:hAnsi="Times New Roman" w:cs="Times New Roman" w:eastAsia="Times New Roman"/>
                <w:b w:val="false"/>
                <w:sz w:val="26"/>
              </w:rPr>
              <w:t>Nghị định 24/2012/NĐ-CP</w:t>
            </w:r>
          </w:p>
        </w:tc>
        <w:tc>
          <w:p/>
          <w:p>
            <w:pPr>
              <w:spacing w:after="0" w:before="0" w:lineRule="auto" w:line="276"/>
              <w:jc w:val="left"/>
            </w:pPr>
            <w:r>
              <w:rPr>
                <w:rFonts w:ascii="Times New Roman" w:hAnsi="Times New Roman" w:cs="Times New Roman" w:eastAsia="Times New Roman"/>
                <w:b w:val="false"/>
                <w:sz w:val="26"/>
              </w:rPr>
              <w:t>03-04-2012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	46/2010/QH12</w:t>
            </w:r>
          </w:p>
        </w:tc>
        <w:tc>
          <w:p/>
          <w:p>
            <w:pPr>
              <w:spacing w:after="0" w:before="0" w:lineRule="auto" w:line="276"/>
              <w:jc w:val="left"/>
            </w:pPr>
            <w:r>
              <w:rPr>
                <w:rFonts w:ascii="Times New Roman" w:hAnsi="Times New Roman" w:cs="Times New Roman" w:eastAsia="Times New Roman"/>
                <w:b w:val="false"/>
                <w:sz w:val="26"/>
              </w:rPr>
              <w:t>Luật Luật Ngân hàng Nhà nước</w:t>
            </w:r>
          </w:p>
        </w:tc>
        <w:tc>
          <w:p/>
          <w:p>
            <w:pPr>
              <w:spacing w:after="0" w:before="0" w:lineRule="auto" w:line="276"/>
              <w:jc w:val="left"/>
            </w:pPr>
            <w:r>
              <w:rPr>
                <w:rFonts w:ascii="Times New Roman" w:hAnsi="Times New Roman" w:cs="Times New Roman" w:eastAsia="Times New Roman"/>
                <w:b w:val="false"/>
                <w:sz w:val="26"/>
              </w:rPr>
              <w:t>16-06-2010</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34/2025/TT-NHNN</w:t>
            </w:r>
          </w:p>
        </w:tc>
        <w:tc>
          <w:p/>
          <w:p>
            <w:pPr>
              <w:spacing w:after="0" w:before="0" w:lineRule="auto" w:line="276"/>
              <w:jc w:val="left"/>
            </w:pPr>
            <w:r>
              <w:rPr>
                <w:rFonts w:ascii="Times New Roman" w:hAnsi="Times New Roman" w:cs="Times New Roman" w:eastAsia="Times New Roman"/>
                <w:b w:val="false"/>
                <w:sz w:val="26"/>
              </w:rPr>
              <w:t>Thông tư hướng dẫn một số điều của Nghị định số 24/2012/NĐ-CP ngày 03 tháng 4 năm 2012 của Chính phủ về quản lý hoạt động  kinh doanh vàng được sửa đổi, bổ sung bởi Nghị định số 232/2025/NĐ-CP</w:t>
            </w:r>
          </w:p>
        </w:tc>
        <w:tc>
          <w:p/>
          <w:p>
            <w:pPr>
              <w:spacing w:after="0" w:before="0" w:lineRule="auto" w:line="276"/>
              <w:jc w:val="left"/>
            </w:pPr>
            <w:r>
              <w:rPr>
                <w:rFonts w:ascii="Times New Roman" w:hAnsi="Times New Roman" w:cs="Times New Roman" w:eastAsia="Times New Roman"/>
                <w:b w:val="false"/>
                <w:sz w:val="26"/>
              </w:rPr>
              <w:t>09-10-2025</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232/2025/NĐ-CP</w:t>
            </w:r>
          </w:p>
        </w:tc>
        <w:tc>
          <w:p/>
          <w:p>
            <w:pPr>
              <w:spacing w:after="0" w:before="0" w:lineRule="auto" w:line="276"/>
              <w:jc w:val="left"/>
            </w:pPr>
            <w:r>
              <w:rPr>
                <w:rFonts w:ascii="Times New Roman" w:hAnsi="Times New Roman" w:cs="Times New Roman" w:eastAsia="Times New Roman"/>
                <w:b w:val="false"/>
                <w:sz w:val="26"/>
              </w:rPr>
              <w:t>Nghị định sửa đổi, bổ sung một số điều của Nghị định số 24/2012/NĐ-CP ngày 03 tháng 4 năm 2012 của Chính phủ về quản lý hoạt động kinh doanh vàng.</w:t>
            </w:r>
          </w:p>
        </w:tc>
        <w:tc>
          <w:p/>
          <w:p>
            <w:pPr>
              <w:spacing w:after="0" w:before="0" w:lineRule="auto" w:line="276"/>
              <w:jc w:val="left"/>
            </w:pPr>
            <w:r>
              <w:rPr>
                <w:rFonts w:ascii="Times New Roman" w:hAnsi="Times New Roman" w:cs="Times New Roman" w:eastAsia="Times New Roman"/>
                <w:b w:val="false"/>
                <w:sz w:val="26"/>
              </w:rPr>
              <w:t>26-08-2025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Doanh nghiệp đầu tư ra nước ngoài trong lĩnh vực khai thác vàng có nhu cầu nhập khẩu vàng do doanh nghiệp khai thác ở nước ngoài được Ngân hàng Nhà nước xem xét cấp Giấy phép nhập khẩu vàng nguyên liệu khi đáp ứng các điều kiện sau:
1. Là doanh nghiệp có đăng ký hoạt động khai thác vàng trong Giấy chứng nhận đầu tư;
2. Vàng nguyên liệu dự kiến nhập khẩu là do doanh nghiệp khai thác ở nước ngoài hoặc được phân chia sản phẩm theo thỏa thuận khai thác vàng ở nước ngoài.</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https://thutuc.dichvucong.gov.vn/p/home/dvc-tthc-thu-tuc-hanh-chinh-chi-tiet.html?ma_thu_tuc=307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2025-11-27T16:07:21Z</dcterms:created>
  <dc:creator>Apache POI</dc:creator>
</cp:coreProperties>
</file>